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6143"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57DD3BF3" wp14:editId="5D51C58C">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20" w:firstRow="1" w:lastRow="0" w:firstColumn="0" w:lastColumn="0" w:noHBand="0" w:noVBand="0"/>
        <w:tblCaption w:val="Cabinet report summary details"/>
      </w:tblPr>
      <w:tblGrid>
        <w:gridCol w:w="3456"/>
        <w:gridCol w:w="5054"/>
      </w:tblGrid>
      <w:tr w:rsidR="00333FAA" w14:paraId="5DE75016" w14:textId="77777777" w:rsidTr="00476AA4">
        <w:trPr>
          <w:tblHeader/>
        </w:trPr>
        <w:tc>
          <w:tcPr>
            <w:tcW w:w="3456" w:type="dxa"/>
            <w:tcBorders>
              <w:bottom w:val="single" w:sz="18" w:space="0" w:color="auto"/>
            </w:tcBorders>
          </w:tcPr>
          <w:p w14:paraId="22250455"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0124052D" w14:textId="77777777" w:rsidR="00333FAA" w:rsidRPr="005E3A10" w:rsidRDefault="005811F8" w:rsidP="00F06E4E">
            <w:pPr>
              <w:pStyle w:val="Heading1"/>
              <w:outlineLvl w:val="0"/>
              <w:rPr>
                <w:szCs w:val="24"/>
              </w:rPr>
            </w:pPr>
            <w:r w:rsidRPr="005E3A10">
              <w:t>Cabinet</w:t>
            </w:r>
          </w:p>
        </w:tc>
      </w:tr>
      <w:tr w:rsidR="00B462F4" w14:paraId="194AA1D4" w14:textId="77777777" w:rsidTr="00476AA4">
        <w:tc>
          <w:tcPr>
            <w:tcW w:w="3456" w:type="dxa"/>
            <w:tcBorders>
              <w:top w:val="single" w:sz="18" w:space="0" w:color="auto"/>
            </w:tcBorders>
          </w:tcPr>
          <w:p w14:paraId="72BAF155" w14:textId="77777777" w:rsidR="00B462F4" w:rsidRDefault="00B462F4" w:rsidP="00B462F4">
            <w:pPr>
              <w:pStyle w:val="Infotext"/>
              <w:spacing w:after="240"/>
              <w:rPr>
                <w:rFonts w:ascii="Arial Black" w:hAnsi="Arial Black"/>
              </w:rPr>
            </w:pPr>
          </w:p>
          <w:p w14:paraId="0DF83370" w14:textId="1B7F03A1" w:rsidR="00B462F4" w:rsidRPr="00C13A5F" w:rsidRDefault="00B462F4" w:rsidP="00B462F4">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8B98C97" w14:textId="77777777" w:rsidR="00B462F4" w:rsidRDefault="00B462F4" w:rsidP="00B462F4">
            <w:pPr>
              <w:rPr>
                <w:rFonts w:cs="Arial"/>
                <w:szCs w:val="24"/>
              </w:rPr>
            </w:pPr>
          </w:p>
          <w:p w14:paraId="23856F9C" w14:textId="77777777" w:rsidR="00B462F4" w:rsidRDefault="00B462F4" w:rsidP="00B462F4">
            <w:pPr>
              <w:rPr>
                <w:rFonts w:cs="Arial"/>
                <w:szCs w:val="24"/>
              </w:rPr>
            </w:pPr>
          </w:p>
          <w:p w14:paraId="09D72EBD" w14:textId="77777777" w:rsidR="00B462F4" w:rsidRDefault="00B462F4" w:rsidP="00B462F4">
            <w:pPr>
              <w:rPr>
                <w:rFonts w:cs="Arial"/>
                <w:szCs w:val="24"/>
              </w:rPr>
            </w:pPr>
          </w:p>
          <w:p w14:paraId="05DA0DA8" w14:textId="511766FF" w:rsidR="00B462F4" w:rsidRPr="005E3A10" w:rsidRDefault="00B462F4" w:rsidP="00B462F4">
            <w:pPr>
              <w:rPr>
                <w:rFonts w:cs="Arial"/>
                <w:szCs w:val="24"/>
              </w:rPr>
            </w:pPr>
            <w:r>
              <w:rPr>
                <w:rFonts w:cs="Arial"/>
                <w:szCs w:val="24"/>
              </w:rPr>
              <w:t>8</w:t>
            </w:r>
            <w:r w:rsidRPr="00D22722">
              <w:rPr>
                <w:rFonts w:cs="Arial"/>
                <w:szCs w:val="24"/>
                <w:vertAlign w:val="superscript"/>
              </w:rPr>
              <w:t>th</w:t>
            </w:r>
            <w:r>
              <w:rPr>
                <w:rFonts w:cs="Arial"/>
                <w:szCs w:val="24"/>
              </w:rPr>
              <w:t xml:space="preserve"> October 2020</w:t>
            </w:r>
          </w:p>
        </w:tc>
      </w:tr>
      <w:tr w:rsidR="00B462F4" w14:paraId="28CC91A6" w14:textId="77777777" w:rsidTr="00476AA4">
        <w:tc>
          <w:tcPr>
            <w:tcW w:w="3456" w:type="dxa"/>
          </w:tcPr>
          <w:p w14:paraId="5F2EF38B" w14:textId="77777777" w:rsidR="00B462F4" w:rsidRPr="00C13A5F" w:rsidRDefault="00B462F4" w:rsidP="00B462F4">
            <w:pPr>
              <w:pStyle w:val="Infotext"/>
              <w:spacing w:after="240"/>
              <w:rPr>
                <w:rFonts w:ascii="Arial Black" w:hAnsi="Arial Black"/>
              </w:rPr>
            </w:pPr>
            <w:r w:rsidRPr="00C13A5F">
              <w:rPr>
                <w:rFonts w:ascii="Arial Black" w:hAnsi="Arial Black" w:cs="Arial"/>
              </w:rPr>
              <w:t>Subject:</w:t>
            </w:r>
          </w:p>
        </w:tc>
        <w:tc>
          <w:tcPr>
            <w:tcW w:w="5054" w:type="dxa"/>
          </w:tcPr>
          <w:p w14:paraId="14941C35" w14:textId="77777777" w:rsidR="00B462F4" w:rsidRDefault="00B462F4" w:rsidP="00B462F4">
            <w:pPr>
              <w:rPr>
                <w:rFonts w:cs="Arial"/>
                <w:bCs/>
                <w:szCs w:val="24"/>
              </w:rPr>
            </w:pPr>
            <w:r w:rsidRPr="00577004">
              <w:rPr>
                <w:rFonts w:cs="Arial"/>
                <w:szCs w:val="24"/>
              </w:rPr>
              <w:t>Housing</w:t>
            </w:r>
            <w:r w:rsidRPr="00577004">
              <w:rPr>
                <w:rFonts w:cs="Arial"/>
                <w:bCs/>
                <w:szCs w:val="24"/>
              </w:rPr>
              <w:t xml:space="preserve"> </w:t>
            </w:r>
            <w:r>
              <w:rPr>
                <w:rFonts w:cs="Arial"/>
                <w:bCs/>
                <w:szCs w:val="24"/>
              </w:rPr>
              <w:t xml:space="preserve">Revenue Account </w:t>
            </w:r>
            <w:r w:rsidRPr="00577004">
              <w:rPr>
                <w:rFonts w:cs="Arial"/>
                <w:bCs/>
                <w:szCs w:val="24"/>
              </w:rPr>
              <w:t>Business Plan</w:t>
            </w:r>
            <w:r>
              <w:rPr>
                <w:rFonts w:cs="Arial"/>
                <w:bCs/>
                <w:szCs w:val="24"/>
              </w:rPr>
              <w:t xml:space="preserve"> update 2020</w:t>
            </w:r>
          </w:p>
          <w:p w14:paraId="2741F7CF" w14:textId="5683AD16" w:rsidR="00B462F4" w:rsidRPr="005E3A10" w:rsidRDefault="00B462F4" w:rsidP="00B462F4">
            <w:pPr>
              <w:rPr>
                <w:rFonts w:cs="Arial"/>
                <w:szCs w:val="24"/>
              </w:rPr>
            </w:pPr>
          </w:p>
        </w:tc>
      </w:tr>
      <w:tr w:rsidR="00B462F4" w14:paraId="0CACA8E2" w14:textId="77777777" w:rsidTr="00476AA4">
        <w:tc>
          <w:tcPr>
            <w:tcW w:w="3456" w:type="dxa"/>
          </w:tcPr>
          <w:p w14:paraId="4AFC51CA" w14:textId="77777777" w:rsidR="00B462F4" w:rsidRPr="00C13A5F" w:rsidRDefault="00B462F4" w:rsidP="00B462F4">
            <w:pPr>
              <w:pStyle w:val="Infotext"/>
              <w:spacing w:after="240"/>
              <w:rPr>
                <w:rFonts w:ascii="Arial Black" w:hAnsi="Arial Black" w:cs="Arial"/>
              </w:rPr>
            </w:pPr>
            <w:r w:rsidRPr="00C13A5F">
              <w:rPr>
                <w:rFonts w:ascii="Arial Black" w:hAnsi="Arial Black" w:cs="Arial"/>
              </w:rPr>
              <w:t>Key Decision:</w:t>
            </w:r>
          </w:p>
        </w:tc>
        <w:tc>
          <w:tcPr>
            <w:tcW w:w="5054" w:type="dxa"/>
          </w:tcPr>
          <w:p w14:paraId="12C19A8E" w14:textId="77777777" w:rsidR="00B462F4" w:rsidRPr="00ED22A3" w:rsidRDefault="00B462F4" w:rsidP="00B462F4">
            <w:pPr>
              <w:pStyle w:val="Infotext"/>
              <w:rPr>
                <w:rFonts w:cs="Arial"/>
                <w:sz w:val="24"/>
                <w:szCs w:val="24"/>
              </w:rPr>
            </w:pPr>
            <w:r w:rsidRPr="005E3A10">
              <w:rPr>
                <w:rFonts w:cs="Arial"/>
                <w:sz w:val="24"/>
                <w:szCs w:val="24"/>
              </w:rPr>
              <w:t>Yes</w:t>
            </w:r>
            <w:r>
              <w:rPr>
                <w:rFonts w:cs="Arial"/>
                <w:sz w:val="24"/>
                <w:szCs w:val="24"/>
              </w:rPr>
              <w:t xml:space="preserve">, </w:t>
            </w:r>
            <w:r w:rsidRPr="00B41F4F">
              <w:rPr>
                <w:rFonts w:cs="Arial"/>
                <w:sz w:val="24"/>
                <w:szCs w:val="24"/>
              </w:rPr>
              <w:t>sets framework for investment in Council housing and basis for the Budgets and MTFS 2021-22 onwards</w:t>
            </w:r>
            <w:r>
              <w:rPr>
                <w:rFonts w:cs="Arial"/>
              </w:rPr>
              <w:t>.</w:t>
            </w:r>
          </w:p>
          <w:p w14:paraId="05C61778" w14:textId="77777777" w:rsidR="00B462F4" w:rsidRDefault="00B462F4" w:rsidP="00B462F4">
            <w:pPr>
              <w:rPr>
                <w:rFonts w:cs="Arial"/>
                <w:szCs w:val="24"/>
              </w:rPr>
            </w:pPr>
          </w:p>
          <w:p w14:paraId="0B1701CC" w14:textId="3FDFBF99" w:rsidR="00B462F4" w:rsidRPr="005E3A10" w:rsidRDefault="00B462F4" w:rsidP="00B462F4">
            <w:pPr>
              <w:rPr>
                <w:rFonts w:cs="Arial"/>
                <w:szCs w:val="24"/>
              </w:rPr>
            </w:pPr>
          </w:p>
        </w:tc>
      </w:tr>
      <w:tr w:rsidR="00B462F4" w14:paraId="49361027" w14:textId="77777777" w:rsidTr="00476AA4">
        <w:tc>
          <w:tcPr>
            <w:tcW w:w="3456" w:type="dxa"/>
          </w:tcPr>
          <w:p w14:paraId="56D79B4D" w14:textId="77777777" w:rsidR="00B462F4" w:rsidRPr="00C13A5F" w:rsidRDefault="00B462F4" w:rsidP="00B462F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852E7F8" w14:textId="77777777" w:rsidR="00B462F4" w:rsidRDefault="00B462F4" w:rsidP="00B462F4">
            <w:pPr>
              <w:rPr>
                <w:rFonts w:cs="Arial"/>
              </w:rPr>
            </w:pPr>
            <w:r>
              <w:rPr>
                <w:rFonts w:cs="Arial"/>
              </w:rPr>
              <w:t xml:space="preserve">Nick Powell, Divisional Director of Housing; </w:t>
            </w:r>
          </w:p>
          <w:p w14:paraId="66E80840" w14:textId="77777777" w:rsidR="00B462F4" w:rsidRDefault="00B462F4" w:rsidP="00B462F4">
            <w:pPr>
              <w:pStyle w:val="Infotext"/>
              <w:rPr>
                <w:rFonts w:cs="Arial"/>
                <w:sz w:val="24"/>
                <w:szCs w:val="24"/>
              </w:rPr>
            </w:pPr>
            <w:r w:rsidRPr="00192C70">
              <w:rPr>
                <w:rFonts w:cs="Arial"/>
                <w:sz w:val="24"/>
                <w:szCs w:val="24"/>
              </w:rPr>
              <w:t>Dawn Calvert, Director of Finance</w:t>
            </w:r>
          </w:p>
          <w:p w14:paraId="133DE991" w14:textId="110AD05C" w:rsidR="00B462F4" w:rsidRPr="005E3A10" w:rsidRDefault="00B462F4" w:rsidP="00B462F4">
            <w:pPr>
              <w:pStyle w:val="Infotext"/>
              <w:rPr>
                <w:rFonts w:cs="Arial"/>
                <w:sz w:val="24"/>
                <w:szCs w:val="24"/>
              </w:rPr>
            </w:pPr>
          </w:p>
        </w:tc>
      </w:tr>
      <w:tr w:rsidR="00B462F4" w14:paraId="3E6CFBC7" w14:textId="77777777" w:rsidTr="00476AA4">
        <w:tc>
          <w:tcPr>
            <w:tcW w:w="3456" w:type="dxa"/>
          </w:tcPr>
          <w:p w14:paraId="3A169603" w14:textId="77777777" w:rsidR="00B462F4" w:rsidRPr="00C13A5F" w:rsidRDefault="00B462F4" w:rsidP="00B462F4">
            <w:pPr>
              <w:pStyle w:val="Infotext"/>
              <w:spacing w:after="240"/>
              <w:rPr>
                <w:rFonts w:ascii="Arial Black" w:hAnsi="Arial Black"/>
              </w:rPr>
            </w:pPr>
            <w:r w:rsidRPr="00DB6C3D">
              <w:rPr>
                <w:rFonts w:ascii="Arial Black" w:hAnsi="Arial Black"/>
              </w:rPr>
              <w:t>Portfolio Holder:</w:t>
            </w:r>
          </w:p>
        </w:tc>
        <w:tc>
          <w:tcPr>
            <w:tcW w:w="5054" w:type="dxa"/>
          </w:tcPr>
          <w:p w14:paraId="1C315DE0" w14:textId="77777777" w:rsidR="00B462F4" w:rsidRDefault="00B462F4" w:rsidP="00B462F4">
            <w:pPr>
              <w:autoSpaceDE w:val="0"/>
              <w:autoSpaceDN w:val="0"/>
              <w:adjustRightInd w:val="0"/>
              <w:rPr>
                <w:rFonts w:ascii="Arial,Bold" w:hAnsi="Arial,Bold" w:cs="Arial,Bold"/>
                <w:bCs/>
                <w:szCs w:val="24"/>
                <w:lang w:val="en-US"/>
              </w:rPr>
            </w:pPr>
            <w:r w:rsidRPr="004A4574">
              <w:rPr>
                <w:rFonts w:cs="Arial"/>
              </w:rPr>
              <w:t xml:space="preserve">Councillor </w:t>
            </w:r>
            <w:r>
              <w:rPr>
                <w:rFonts w:cs="Arial"/>
              </w:rPr>
              <w:t>Phillip O’Dell,</w:t>
            </w:r>
            <w:r w:rsidRPr="00E63C20">
              <w:rPr>
                <w:rFonts w:ascii="Arial,Bold" w:hAnsi="Arial,Bold" w:cs="Arial,Bold"/>
                <w:bCs/>
                <w:szCs w:val="24"/>
                <w:lang w:val="en-US"/>
              </w:rPr>
              <w:t xml:space="preserve"> Portfolio</w:t>
            </w:r>
            <w:r>
              <w:rPr>
                <w:rFonts w:ascii="Arial,Bold" w:hAnsi="Arial,Bold" w:cs="Arial,Bold"/>
                <w:bCs/>
                <w:szCs w:val="24"/>
                <w:lang w:val="en-US"/>
              </w:rPr>
              <w:t xml:space="preserve"> </w:t>
            </w:r>
            <w:r w:rsidRPr="00E63C20">
              <w:rPr>
                <w:rFonts w:ascii="Arial,Bold" w:hAnsi="Arial,Bold" w:cs="Arial,Bold"/>
                <w:bCs/>
                <w:szCs w:val="24"/>
                <w:lang w:val="en-US"/>
              </w:rPr>
              <w:t>Holder</w:t>
            </w:r>
            <w:r>
              <w:rPr>
                <w:rFonts w:ascii="Arial,Bold" w:hAnsi="Arial,Bold" w:cs="Arial,Bold"/>
                <w:bCs/>
                <w:szCs w:val="24"/>
                <w:lang w:val="en-US"/>
              </w:rPr>
              <w:t xml:space="preserve"> for Housing;</w:t>
            </w:r>
          </w:p>
          <w:p w14:paraId="2CEB0F20" w14:textId="77777777" w:rsidR="00B462F4" w:rsidRDefault="00B462F4" w:rsidP="00B462F4">
            <w:pPr>
              <w:autoSpaceDE w:val="0"/>
              <w:autoSpaceDN w:val="0"/>
              <w:adjustRightInd w:val="0"/>
              <w:rPr>
                <w:rFonts w:cs="Arial"/>
              </w:rPr>
            </w:pPr>
            <w:proofErr w:type="spellStart"/>
            <w:r>
              <w:rPr>
                <w:rFonts w:ascii="Arial,Bold" w:hAnsi="Arial,Bold" w:cs="Arial,Bold"/>
                <w:bCs/>
                <w:szCs w:val="24"/>
                <w:lang w:val="en-US"/>
              </w:rPr>
              <w:t>Councillor</w:t>
            </w:r>
            <w:proofErr w:type="spellEnd"/>
            <w:r>
              <w:rPr>
                <w:rFonts w:ascii="Arial,Bold" w:hAnsi="Arial,Bold" w:cs="Arial,Bold"/>
                <w:bCs/>
                <w:szCs w:val="24"/>
                <w:lang w:val="en-US"/>
              </w:rPr>
              <w:t xml:space="preserve"> Adam Swersky, Portfolio Holder for Finance &amp; Resources</w:t>
            </w:r>
          </w:p>
          <w:p w14:paraId="5C18D63D" w14:textId="77777777" w:rsidR="00B462F4" w:rsidRDefault="00B462F4" w:rsidP="00B462F4">
            <w:pPr>
              <w:pStyle w:val="Infotext"/>
              <w:rPr>
                <w:rFonts w:cs="Arial"/>
                <w:color w:val="FF0000"/>
                <w:sz w:val="24"/>
                <w:szCs w:val="24"/>
              </w:rPr>
            </w:pPr>
          </w:p>
          <w:p w14:paraId="1C6A8B41" w14:textId="6E916D3E" w:rsidR="00B462F4" w:rsidRPr="005E3A10" w:rsidRDefault="00B462F4" w:rsidP="00B462F4">
            <w:pPr>
              <w:pStyle w:val="Infotext"/>
              <w:rPr>
                <w:rFonts w:cs="Arial"/>
                <w:color w:val="FF0000"/>
                <w:sz w:val="24"/>
                <w:szCs w:val="24"/>
              </w:rPr>
            </w:pPr>
          </w:p>
        </w:tc>
      </w:tr>
      <w:tr w:rsidR="00B462F4" w14:paraId="5B6D92CA" w14:textId="77777777" w:rsidTr="00476AA4">
        <w:tc>
          <w:tcPr>
            <w:tcW w:w="3456" w:type="dxa"/>
          </w:tcPr>
          <w:p w14:paraId="7603DFD9" w14:textId="77777777" w:rsidR="00B462F4" w:rsidRPr="00C13A5F" w:rsidRDefault="00B462F4" w:rsidP="00B462F4">
            <w:pPr>
              <w:pStyle w:val="Infotext"/>
              <w:spacing w:after="240"/>
              <w:rPr>
                <w:rFonts w:ascii="Arial Black" w:hAnsi="Arial Black"/>
              </w:rPr>
            </w:pPr>
            <w:r w:rsidRPr="00DB6C3D">
              <w:rPr>
                <w:rFonts w:ascii="Arial Black" w:hAnsi="Arial Black"/>
              </w:rPr>
              <w:t>Exempt:</w:t>
            </w:r>
          </w:p>
        </w:tc>
        <w:tc>
          <w:tcPr>
            <w:tcW w:w="5054" w:type="dxa"/>
          </w:tcPr>
          <w:p w14:paraId="50B013AB" w14:textId="77777777" w:rsidR="00B462F4" w:rsidRPr="005E3A10" w:rsidRDefault="00B462F4" w:rsidP="00B462F4">
            <w:pPr>
              <w:pStyle w:val="Infotext"/>
              <w:rPr>
                <w:rFonts w:cs="Arial"/>
                <w:sz w:val="24"/>
                <w:szCs w:val="24"/>
              </w:rPr>
            </w:pPr>
            <w:r w:rsidRPr="005E3A10">
              <w:rPr>
                <w:rFonts w:cs="Arial"/>
                <w:sz w:val="24"/>
                <w:szCs w:val="24"/>
              </w:rPr>
              <w:t>No</w:t>
            </w:r>
          </w:p>
          <w:p w14:paraId="3BC04D98" w14:textId="77777777" w:rsidR="00B462F4" w:rsidRPr="005E3A10" w:rsidRDefault="00B462F4" w:rsidP="00B462F4">
            <w:pPr>
              <w:pStyle w:val="Infotext"/>
              <w:rPr>
                <w:rFonts w:cs="Arial"/>
                <w:color w:val="FF0000"/>
                <w:sz w:val="24"/>
                <w:szCs w:val="24"/>
              </w:rPr>
            </w:pPr>
          </w:p>
        </w:tc>
      </w:tr>
      <w:tr w:rsidR="00B462F4" w14:paraId="156C1ED7" w14:textId="77777777" w:rsidTr="00476AA4">
        <w:tc>
          <w:tcPr>
            <w:tcW w:w="3456" w:type="dxa"/>
          </w:tcPr>
          <w:p w14:paraId="15A52FAB" w14:textId="77777777" w:rsidR="00B462F4" w:rsidRPr="00C13A5F" w:rsidRDefault="00B462F4" w:rsidP="00B462F4">
            <w:pPr>
              <w:pStyle w:val="Infotext"/>
              <w:spacing w:after="240"/>
              <w:rPr>
                <w:rFonts w:ascii="Arial Black" w:hAnsi="Arial Black"/>
              </w:rPr>
            </w:pPr>
            <w:r w:rsidRPr="00DB6C3D">
              <w:rPr>
                <w:rFonts w:ascii="Arial Black" w:hAnsi="Arial Black"/>
              </w:rPr>
              <w:t>Decision subject to Call-in:</w:t>
            </w:r>
          </w:p>
        </w:tc>
        <w:tc>
          <w:tcPr>
            <w:tcW w:w="5054" w:type="dxa"/>
          </w:tcPr>
          <w:p w14:paraId="0DEF672F" w14:textId="77777777" w:rsidR="00B462F4" w:rsidRPr="009D4BDB" w:rsidRDefault="00B462F4" w:rsidP="00B462F4">
            <w:pPr>
              <w:pStyle w:val="Infotext"/>
              <w:rPr>
                <w:rFonts w:cs="Arial"/>
                <w:sz w:val="24"/>
                <w:szCs w:val="24"/>
              </w:rPr>
            </w:pPr>
            <w:r w:rsidRPr="005E3A10">
              <w:rPr>
                <w:rFonts w:cs="Arial"/>
                <w:sz w:val="24"/>
                <w:szCs w:val="24"/>
              </w:rPr>
              <w:t>Yes</w:t>
            </w:r>
          </w:p>
          <w:p w14:paraId="0C39833B" w14:textId="77777777" w:rsidR="00B462F4" w:rsidRPr="005E3A10" w:rsidRDefault="00B462F4" w:rsidP="00B462F4">
            <w:pPr>
              <w:rPr>
                <w:rFonts w:cs="Arial"/>
                <w:szCs w:val="24"/>
              </w:rPr>
            </w:pPr>
          </w:p>
        </w:tc>
      </w:tr>
      <w:tr w:rsidR="00B462F4" w14:paraId="191E3ECB" w14:textId="77777777" w:rsidTr="00476AA4">
        <w:tc>
          <w:tcPr>
            <w:tcW w:w="3456" w:type="dxa"/>
          </w:tcPr>
          <w:p w14:paraId="6FE7DE9E" w14:textId="77777777" w:rsidR="00B462F4" w:rsidRPr="00C13A5F" w:rsidRDefault="00B462F4" w:rsidP="00B462F4">
            <w:pPr>
              <w:pStyle w:val="Infotext"/>
              <w:spacing w:after="240"/>
              <w:rPr>
                <w:rFonts w:ascii="Arial Black" w:hAnsi="Arial Black" w:cs="Arial"/>
              </w:rPr>
            </w:pPr>
            <w:r>
              <w:rPr>
                <w:rFonts w:ascii="Arial Black" w:hAnsi="Arial Black" w:cs="Arial"/>
              </w:rPr>
              <w:t>Wards affected:</w:t>
            </w:r>
          </w:p>
        </w:tc>
        <w:tc>
          <w:tcPr>
            <w:tcW w:w="5054" w:type="dxa"/>
          </w:tcPr>
          <w:p w14:paraId="139A14D7" w14:textId="3456244E" w:rsidR="00B462F4" w:rsidRPr="00307F76" w:rsidRDefault="00B462F4" w:rsidP="00B462F4">
            <w:pPr>
              <w:rPr>
                <w:rFonts w:cs="Arial"/>
                <w:b/>
                <w:color w:val="FF0000"/>
                <w:szCs w:val="24"/>
              </w:rPr>
            </w:pPr>
            <w:r>
              <w:rPr>
                <w:rFonts w:cs="Arial"/>
                <w:szCs w:val="24"/>
              </w:rPr>
              <w:t>All wards</w:t>
            </w:r>
          </w:p>
        </w:tc>
      </w:tr>
      <w:tr w:rsidR="00B462F4" w14:paraId="3DC8E240" w14:textId="77777777" w:rsidTr="00476AA4">
        <w:tc>
          <w:tcPr>
            <w:tcW w:w="3456" w:type="dxa"/>
          </w:tcPr>
          <w:p w14:paraId="385BBE8C" w14:textId="77777777" w:rsidR="00B462F4" w:rsidRPr="00C13A5F" w:rsidRDefault="00B462F4" w:rsidP="00B462F4">
            <w:pPr>
              <w:pStyle w:val="Infotext"/>
              <w:spacing w:after="240"/>
              <w:rPr>
                <w:rFonts w:ascii="Arial Black" w:hAnsi="Arial Black" w:cs="Arial"/>
              </w:rPr>
            </w:pPr>
            <w:r w:rsidRPr="00C13A5F">
              <w:rPr>
                <w:rFonts w:ascii="Arial Black" w:hAnsi="Arial Black" w:cs="Arial"/>
              </w:rPr>
              <w:t>Enclosures:</w:t>
            </w:r>
          </w:p>
        </w:tc>
        <w:tc>
          <w:tcPr>
            <w:tcW w:w="5054" w:type="dxa"/>
          </w:tcPr>
          <w:p w14:paraId="67BBA0F2" w14:textId="7F7359B9" w:rsidR="00B462F4" w:rsidRPr="00F00F23" w:rsidRDefault="00B462F4" w:rsidP="00B462F4">
            <w:r w:rsidRPr="00F00F23">
              <w:t>Appendix 1 Schedule of assumptions Appendix 2 Revenue account projections</w:t>
            </w:r>
          </w:p>
          <w:p w14:paraId="241A513D" w14:textId="77777777" w:rsidR="00B462F4" w:rsidRPr="00F00F23" w:rsidRDefault="00B462F4" w:rsidP="00B462F4">
            <w:r w:rsidRPr="00F00F23">
              <w:t>Appendix 3 Capital account projections</w:t>
            </w:r>
          </w:p>
          <w:p w14:paraId="3A432AAC" w14:textId="78E3284D" w:rsidR="00B462F4" w:rsidRPr="005E3A10" w:rsidRDefault="00B462F4" w:rsidP="00B462F4">
            <w:pPr>
              <w:pStyle w:val="Infotext"/>
              <w:rPr>
                <w:color w:val="FF0000"/>
                <w:sz w:val="24"/>
                <w:szCs w:val="24"/>
              </w:rPr>
            </w:pPr>
          </w:p>
        </w:tc>
      </w:tr>
    </w:tbl>
    <w:p w14:paraId="5E9C7BF4" w14:textId="1F28C3EE" w:rsidR="00333FAA" w:rsidRDefault="00333FAA" w:rsidP="00C869F3">
      <w:pPr>
        <w:spacing w:after="480"/>
        <w:rPr>
          <w:rFonts w:cs="Arial"/>
        </w:rPr>
      </w:pPr>
    </w:p>
    <w:p w14:paraId="79F14EEF" w14:textId="628D0B6D" w:rsidR="00B462F4" w:rsidRDefault="00B462F4" w:rsidP="00C869F3">
      <w:pPr>
        <w:spacing w:after="480"/>
        <w:rPr>
          <w:rFonts w:cs="Arial"/>
        </w:rPr>
      </w:pPr>
    </w:p>
    <w:p w14:paraId="57FC4823" w14:textId="77777777" w:rsidR="00D76560" w:rsidRDefault="00D76560" w:rsidP="00C869F3">
      <w:pPr>
        <w:spacing w:after="480"/>
        <w:rPr>
          <w:rFonts w:cs="Arial"/>
        </w:rPr>
      </w:pPr>
    </w:p>
    <w:p w14:paraId="50CDD572" w14:textId="77777777" w:rsidR="00B462F4" w:rsidRDefault="00B462F4"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67072F04" w14:textId="77777777" w:rsidTr="00221A93">
        <w:trPr>
          <w:tblHeader/>
        </w:trPr>
        <w:tc>
          <w:tcPr>
            <w:tcW w:w="8525" w:type="dxa"/>
            <w:tcBorders>
              <w:top w:val="nil"/>
              <w:left w:val="nil"/>
              <w:right w:val="nil"/>
            </w:tcBorders>
          </w:tcPr>
          <w:p w14:paraId="344C1D27" w14:textId="77777777" w:rsidR="00333FAA" w:rsidRDefault="00333FAA" w:rsidP="00605A4C">
            <w:pPr>
              <w:pStyle w:val="Heading2"/>
              <w:spacing w:after="240"/>
            </w:pPr>
            <w:r>
              <w:lastRenderedPageBreak/>
              <w:t>Section 1 – Summary and Recommendations</w:t>
            </w:r>
          </w:p>
        </w:tc>
      </w:tr>
      <w:tr w:rsidR="00333FAA" w14:paraId="092ED26D" w14:textId="77777777" w:rsidTr="00221A93">
        <w:trPr>
          <w:tblHeader/>
        </w:trPr>
        <w:tc>
          <w:tcPr>
            <w:tcW w:w="8525" w:type="dxa"/>
          </w:tcPr>
          <w:p w14:paraId="3915A123" w14:textId="5B2CF30C" w:rsidR="00B462F4" w:rsidRPr="00B462F4" w:rsidRDefault="00B462F4" w:rsidP="00B462F4">
            <w:pPr>
              <w:jc w:val="both"/>
              <w:outlineLvl w:val="1"/>
              <w:rPr>
                <w:rFonts w:cs="Arial"/>
                <w:bCs/>
                <w:szCs w:val="24"/>
              </w:rPr>
            </w:pPr>
            <w:r w:rsidRPr="00B462F4">
              <w:rPr>
                <w:rFonts w:cs="Arial"/>
                <w:bCs/>
                <w:szCs w:val="24"/>
              </w:rPr>
              <w:t xml:space="preserve">This report provides an update to the Council’s Housing Revenue Account (HRA) Business Plan following approval of the Budget, </w:t>
            </w:r>
            <w:r w:rsidR="0082610E">
              <w:rPr>
                <w:rFonts w:cs="Arial"/>
                <w:bCs/>
                <w:szCs w:val="24"/>
              </w:rPr>
              <w:t>Medium Term Financial Strategy (</w:t>
            </w:r>
            <w:r w:rsidRPr="00B462F4">
              <w:rPr>
                <w:rFonts w:cs="Arial"/>
                <w:bCs/>
                <w:szCs w:val="24"/>
              </w:rPr>
              <w:t>MTFS</w:t>
            </w:r>
            <w:r w:rsidR="0082610E">
              <w:rPr>
                <w:rFonts w:cs="Arial"/>
                <w:bCs/>
                <w:szCs w:val="24"/>
              </w:rPr>
              <w:t>)</w:t>
            </w:r>
            <w:r w:rsidRPr="00B462F4">
              <w:rPr>
                <w:rFonts w:cs="Arial"/>
                <w:bCs/>
                <w:szCs w:val="24"/>
              </w:rPr>
              <w:t xml:space="preserve"> and Capital Programme by the Council on 27</w:t>
            </w:r>
            <w:r w:rsidRPr="00B462F4">
              <w:rPr>
                <w:rFonts w:cs="Arial"/>
                <w:bCs/>
                <w:szCs w:val="24"/>
                <w:vertAlign w:val="superscript"/>
              </w:rPr>
              <w:t>th</w:t>
            </w:r>
            <w:r w:rsidRPr="00B462F4">
              <w:rPr>
                <w:rFonts w:cs="Arial"/>
                <w:bCs/>
                <w:szCs w:val="24"/>
              </w:rPr>
              <w:t xml:space="preserve"> February 2020. This included progression of the Building Council Houses for Londoners (</w:t>
            </w:r>
            <w:proofErr w:type="spellStart"/>
            <w:r w:rsidRPr="00B462F4">
              <w:rPr>
                <w:rFonts w:cs="Arial"/>
                <w:bCs/>
                <w:szCs w:val="24"/>
              </w:rPr>
              <w:t>BCHfL</w:t>
            </w:r>
            <w:proofErr w:type="spellEnd"/>
            <w:r w:rsidRPr="00B462F4">
              <w:rPr>
                <w:rFonts w:cs="Arial"/>
                <w:bCs/>
                <w:szCs w:val="24"/>
              </w:rPr>
              <w:t xml:space="preserve">) programme within the HRA which will provide up to 659 new homes in accordance with stated Government objectives. The report sets out the key assumptions used together with an update on key economic and regulatory factors. </w:t>
            </w:r>
          </w:p>
          <w:p w14:paraId="0DD37BA2" w14:textId="77777777" w:rsidR="00B462F4" w:rsidRPr="00B462F4" w:rsidRDefault="00B462F4" w:rsidP="00B462F4">
            <w:pPr>
              <w:outlineLvl w:val="1"/>
              <w:rPr>
                <w:rFonts w:cs="Arial"/>
                <w:b/>
                <w:bCs/>
                <w:sz w:val="28"/>
                <w:szCs w:val="32"/>
              </w:rPr>
            </w:pPr>
          </w:p>
          <w:p w14:paraId="053AA702" w14:textId="77777777" w:rsidR="00B462F4" w:rsidRPr="00B462F4" w:rsidRDefault="00B462F4" w:rsidP="00B462F4">
            <w:pPr>
              <w:outlineLvl w:val="1"/>
              <w:rPr>
                <w:rFonts w:cs="Arial"/>
                <w:b/>
                <w:bCs/>
                <w:sz w:val="28"/>
                <w:szCs w:val="32"/>
              </w:rPr>
            </w:pPr>
            <w:r w:rsidRPr="00B462F4">
              <w:rPr>
                <w:rFonts w:cs="Arial"/>
                <w:b/>
                <w:bCs/>
                <w:sz w:val="28"/>
                <w:szCs w:val="32"/>
              </w:rPr>
              <w:t xml:space="preserve">Recommendations: </w:t>
            </w:r>
          </w:p>
          <w:p w14:paraId="5E9A73F4" w14:textId="06CBFAA9" w:rsidR="00B462F4" w:rsidRPr="00B462F4" w:rsidRDefault="0082610E" w:rsidP="00B462F4">
            <w:pPr>
              <w:jc w:val="both"/>
            </w:pPr>
            <w:r>
              <w:t>That (1)</w:t>
            </w:r>
            <w:r w:rsidR="00B462F4" w:rsidRPr="00B462F4">
              <w:t>the HRA Business Plan update 2020</w:t>
            </w:r>
            <w:r>
              <w:t>,</w:t>
            </w:r>
            <w:r w:rsidR="00B462F4" w:rsidRPr="00B462F4">
              <w:t xml:space="preserve"> which will set the framework for the draft HRA Budget 2021-22 &amp; MTFS 2022-23 to 2023-24 and capital programme</w:t>
            </w:r>
            <w:r w:rsidR="0077317B">
              <w:t xml:space="preserve"> and </w:t>
            </w:r>
            <w:r w:rsidR="00B462F4" w:rsidRPr="00B462F4">
              <w:t xml:space="preserve">which will be submitted to Cabinet </w:t>
            </w:r>
            <w:r>
              <w:t xml:space="preserve">on </w:t>
            </w:r>
            <w:r w:rsidR="00B462F4" w:rsidRPr="00B462F4">
              <w:t>3 December 2020</w:t>
            </w:r>
            <w:r>
              <w:t>, be approved</w:t>
            </w:r>
            <w:r w:rsidR="00B462F4" w:rsidRPr="00B462F4">
              <w:t xml:space="preserve">. </w:t>
            </w:r>
            <w:r>
              <w:t>(2)</w:t>
            </w:r>
            <w:r w:rsidR="00B462F4" w:rsidRPr="00B462F4">
              <w:t xml:space="preserve"> the work being conducted on alternative delivery models, the costs and procurement route of which will be the subject of a future report to Cabinet and for which the HRA Business Plan will be updated</w:t>
            </w:r>
            <w:r w:rsidR="0077317B">
              <w:t>,</w:t>
            </w:r>
            <w:r>
              <w:t xml:space="preserve"> be noted</w:t>
            </w:r>
            <w:r w:rsidR="00B462F4" w:rsidRPr="00B462F4">
              <w:t>.</w:t>
            </w:r>
          </w:p>
          <w:p w14:paraId="665F43D6" w14:textId="77777777" w:rsidR="00B462F4" w:rsidRPr="00B462F4" w:rsidRDefault="00B462F4" w:rsidP="00B462F4"/>
          <w:p w14:paraId="6FBA4DAB" w14:textId="5A5BE3E2" w:rsidR="00B462F4" w:rsidRPr="00B462F4" w:rsidRDefault="00B462F4" w:rsidP="00B462F4">
            <w:pPr>
              <w:outlineLvl w:val="1"/>
              <w:rPr>
                <w:rFonts w:cs="Arial"/>
                <w:b/>
                <w:bCs/>
                <w:color w:val="FF0000"/>
                <w:sz w:val="28"/>
                <w:szCs w:val="32"/>
              </w:rPr>
            </w:pPr>
            <w:r w:rsidRPr="00B462F4">
              <w:rPr>
                <w:rFonts w:cs="Arial"/>
                <w:b/>
                <w:bCs/>
                <w:sz w:val="28"/>
                <w:szCs w:val="32"/>
              </w:rPr>
              <w:t>Reason</w:t>
            </w:r>
            <w:r w:rsidR="0082610E" w:rsidRPr="00B462F4">
              <w:rPr>
                <w:rFonts w:cs="Arial"/>
                <w:b/>
                <w:bCs/>
                <w:sz w:val="28"/>
                <w:szCs w:val="32"/>
              </w:rPr>
              <w:t>: (</w:t>
            </w:r>
            <w:r w:rsidRPr="00B462F4">
              <w:rPr>
                <w:rFonts w:cs="Arial"/>
                <w:b/>
                <w:bCs/>
                <w:sz w:val="28"/>
                <w:szCs w:val="32"/>
              </w:rPr>
              <w:t xml:space="preserve">For recommendations) </w:t>
            </w:r>
            <w:r w:rsidRPr="00B462F4">
              <w:rPr>
                <w:rFonts w:cs="Arial"/>
                <w:b/>
                <w:bCs/>
                <w:color w:val="FF0000"/>
                <w:sz w:val="28"/>
                <w:szCs w:val="32"/>
              </w:rPr>
              <w:t xml:space="preserve"> </w:t>
            </w:r>
          </w:p>
          <w:p w14:paraId="59428CA9" w14:textId="124241AD" w:rsidR="00B462F4" w:rsidRPr="00B462F4" w:rsidRDefault="00B462F4" w:rsidP="00B462F4">
            <w:pPr>
              <w:jc w:val="both"/>
            </w:pPr>
            <w:r w:rsidRPr="00B462F4">
              <w:t xml:space="preserve">To have in place an updated </w:t>
            </w:r>
            <w:r w:rsidR="0082610E" w:rsidRPr="00B462F4">
              <w:t>30-year</w:t>
            </w:r>
            <w:r w:rsidRPr="00B462F4">
              <w:t xml:space="preserve"> HRA Business Plan required for construction projects within the HRA which will have significant impacts on the Community and Businesses within the Borough by providing much needed accommodation and infrastructure. Given the nature and scale of the approved new developments, together with the impact of </w:t>
            </w:r>
            <w:proofErr w:type="spellStart"/>
            <w:r w:rsidRPr="00B462F4">
              <w:t>Covid</w:t>
            </w:r>
            <w:proofErr w:type="spellEnd"/>
            <w:r w:rsidRPr="00B462F4">
              <w:t xml:space="preserve"> 19 and Brexit, regular and rigorous reviews of the HRA Business Plan are warranted together with consideration of alternative delivery models to achieve new housing supply and contribute to the Council’s wider regeneration aspirations.</w:t>
            </w:r>
          </w:p>
          <w:p w14:paraId="5B05D0F9" w14:textId="77777777" w:rsidR="00333FAA" w:rsidRDefault="00333FAA" w:rsidP="00B462F4">
            <w:pPr>
              <w:pStyle w:val="Heading3"/>
              <w:ind w:left="0" w:firstLine="0"/>
              <w:jc w:val="left"/>
            </w:pPr>
          </w:p>
        </w:tc>
      </w:tr>
    </w:tbl>
    <w:p w14:paraId="644B5DA3" w14:textId="77777777" w:rsidR="00333FAA" w:rsidRDefault="00333FAA" w:rsidP="00F06E4E">
      <w:pPr>
        <w:pStyle w:val="Heading2"/>
        <w:spacing w:before="480"/>
      </w:pPr>
      <w:r>
        <w:t>Section 2 – Report</w:t>
      </w:r>
    </w:p>
    <w:p w14:paraId="48432060" w14:textId="0510D79B" w:rsidR="001C7E35" w:rsidRDefault="001C7E35" w:rsidP="00F06E4E">
      <w:pPr>
        <w:pStyle w:val="Heading3"/>
        <w:spacing w:before="240"/>
      </w:pPr>
      <w:r>
        <w:t>Introductory paragraph</w:t>
      </w:r>
    </w:p>
    <w:p w14:paraId="722C0629" w14:textId="77777777" w:rsidR="00D76560" w:rsidRPr="00D76560" w:rsidRDefault="00D76560" w:rsidP="00D76560"/>
    <w:p w14:paraId="4D9A7586" w14:textId="7405BDC2" w:rsidR="00B462F4" w:rsidRDefault="00B462F4" w:rsidP="00850709">
      <w:pPr>
        <w:numPr>
          <w:ilvl w:val="0"/>
          <w:numId w:val="3"/>
        </w:numPr>
        <w:ind w:left="142" w:hanging="284"/>
        <w:jc w:val="both"/>
      </w:pPr>
      <w:r>
        <w:t xml:space="preserve">The last HRA Business Plan Update, approved by Cabinet </w:t>
      </w:r>
      <w:r w:rsidR="0082610E">
        <w:t xml:space="preserve">on </w:t>
      </w:r>
      <w:r>
        <w:t xml:space="preserve">10 October 2019, made reference to two options </w:t>
      </w:r>
      <w:r w:rsidR="0082610E">
        <w:t xml:space="preserve">available </w:t>
      </w:r>
      <w:r>
        <w:t xml:space="preserve">to the </w:t>
      </w:r>
      <w:r w:rsidR="0082610E">
        <w:t>Council:</w:t>
      </w:r>
      <w:r>
        <w:t xml:space="preserve"> </w:t>
      </w:r>
    </w:p>
    <w:p w14:paraId="399B65EE" w14:textId="77777777" w:rsidR="00B462F4" w:rsidRDefault="00B462F4" w:rsidP="00850709">
      <w:pPr>
        <w:numPr>
          <w:ilvl w:val="0"/>
          <w:numId w:val="4"/>
        </w:numPr>
        <w:jc w:val="both"/>
      </w:pPr>
      <w:r>
        <w:t>to proceed with a more ambitious programme through further grants and borrowing resulting in a significantly increased housing supply</w:t>
      </w:r>
    </w:p>
    <w:p w14:paraId="19A2238B" w14:textId="77777777" w:rsidR="00B462F4" w:rsidRDefault="00B462F4" w:rsidP="00850709">
      <w:pPr>
        <w:numPr>
          <w:ilvl w:val="0"/>
          <w:numId w:val="4"/>
        </w:numPr>
        <w:jc w:val="both"/>
      </w:pPr>
      <w:r>
        <w:t>to complete the schemes already in progress and not proceed with a more ambitious programme</w:t>
      </w:r>
    </w:p>
    <w:p w14:paraId="7C3A5B4B" w14:textId="77777777" w:rsidR="00B462F4" w:rsidRDefault="00B462F4" w:rsidP="00B462F4">
      <w:pPr>
        <w:ind w:left="142"/>
        <w:jc w:val="both"/>
      </w:pPr>
    </w:p>
    <w:p w14:paraId="65CD373E" w14:textId="77777777" w:rsidR="00B462F4" w:rsidRPr="00994AB3" w:rsidRDefault="00B462F4" w:rsidP="00850709">
      <w:pPr>
        <w:numPr>
          <w:ilvl w:val="0"/>
          <w:numId w:val="3"/>
        </w:numPr>
        <w:ind w:left="142" w:hanging="284"/>
        <w:jc w:val="both"/>
      </w:pPr>
      <w:r>
        <w:t>The first option was approved as a sustained depletion of the Council housing stock through Right to Buy (“</w:t>
      </w:r>
      <w:r w:rsidRPr="00F0158B">
        <w:rPr>
          <w:bCs/>
        </w:rPr>
        <w:t>RTB</w:t>
      </w:r>
      <w:r>
        <w:t>”) sales is set to continue which will eventually compromise the viability of the Council’s HRA as well as accentuate pressures on the General Fund from the cost of homelessness unless there is significant new supply of housing.</w:t>
      </w:r>
    </w:p>
    <w:p w14:paraId="0CCD2E0D" w14:textId="77777777" w:rsidR="00B462F4" w:rsidRDefault="00B462F4" w:rsidP="00B462F4">
      <w:pPr>
        <w:jc w:val="both"/>
      </w:pPr>
    </w:p>
    <w:p w14:paraId="366C6B1C" w14:textId="77777777" w:rsidR="00B462F4" w:rsidRDefault="00B462F4" w:rsidP="00850709">
      <w:pPr>
        <w:numPr>
          <w:ilvl w:val="0"/>
          <w:numId w:val="3"/>
        </w:numPr>
        <w:ind w:left="142" w:hanging="284"/>
        <w:jc w:val="both"/>
      </w:pPr>
      <w:r>
        <w:t>The Council approved, as part of the budget report on 27</w:t>
      </w:r>
      <w:r>
        <w:rPr>
          <w:vertAlign w:val="superscript"/>
        </w:rPr>
        <w:t>th</w:t>
      </w:r>
      <w:r>
        <w:t xml:space="preserve"> February 2020, continuing with the construction of up to 659 homes funded by GLA grant £32.144m, Housing Infrastructure Fund (HIF) grant £10m, with the remainder made up of other HRA capital resources supplemented by borrowing. The total cost of these new homes, which has no impact on General Fund capital resources or borrowing, comes to £171.163m and was originally approved by the Council 28</w:t>
      </w:r>
      <w:r w:rsidRPr="00F0158B">
        <w:rPr>
          <w:vertAlign w:val="superscript"/>
        </w:rPr>
        <w:t>th</w:t>
      </w:r>
      <w:r>
        <w:t xml:space="preserve"> February 2019.</w:t>
      </w:r>
    </w:p>
    <w:p w14:paraId="7855E876" w14:textId="77777777" w:rsidR="00B462F4" w:rsidRDefault="00B462F4" w:rsidP="00B462F4">
      <w:pPr>
        <w:pStyle w:val="ListParagraph"/>
        <w:jc w:val="both"/>
      </w:pPr>
    </w:p>
    <w:p w14:paraId="12C3E829" w14:textId="77777777" w:rsidR="00B462F4" w:rsidRDefault="00B462F4" w:rsidP="00850709">
      <w:pPr>
        <w:numPr>
          <w:ilvl w:val="0"/>
          <w:numId w:val="3"/>
        </w:numPr>
        <w:ind w:left="142" w:hanging="284"/>
        <w:jc w:val="both"/>
      </w:pPr>
      <w:r>
        <w:t>This would assume full achievement of the programme of cost reductions totalling £1.9m on the revenue account by 31</w:t>
      </w:r>
      <w:r w:rsidRPr="00C2462C">
        <w:rPr>
          <w:vertAlign w:val="superscript"/>
        </w:rPr>
        <w:t>st</w:t>
      </w:r>
      <w:r>
        <w:t xml:space="preserve"> March 2021. The capital programme is based on the latest stock condition data with priority given to compliance and Health &amp; Safety works moving to a “just in time” approach to ensure the programme remains affordable.</w:t>
      </w:r>
    </w:p>
    <w:p w14:paraId="00AE38F3" w14:textId="77777777" w:rsidR="00B462F4" w:rsidRDefault="00B462F4" w:rsidP="00B462F4">
      <w:pPr>
        <w:ind w:left="142"/>
        <w:jc w:val="both"/>
      </w:pPr>
    </w:p>
    <w:p w14:paraId="36CB83C4" w14:textId="77777777" w:rsidR="00B462F4" w:rsidRDefault="00B462F4" w:rsidP="00850709">
      <w:pPr>
        <w:numPr>
          <w:ilvl w:val="0"/>
          <w:numId w:val="3"/>
        </w:numPr>
        <w:ind w:left="142" w:hanging="284"/>
        <w:jc w:val="both"/>
      </w:pPr>
      <w:r>
        <w:t>This report refreshes the position taking into account 95 homes have already completed leaving 564 remaining to be built with £2.078m of the £32.144m GLA grant received leaving £30.066m to be claimed, and £3.573m of the £10m HIF funding received leaving £6.427m to be claimed. A claim for £4m HIF funding has been approved and paid by the GLA.</w:t>
      </w:r>
    </w:p>
    <w:p w14:paraId="388AC69A" w14:textId="77777777" w:rsidR="00B462F4" w:rsidRDefault="00B462F4" w:rsidP="00B462F4">
      <w:pPr>
        <w:pStyle w:val="ListParagraph"/>
        <w:jc w:val="both"/>
      </w:pPr>
    </w:p>
    <w:p w14:paraId="0DAE5382" w14:textId="0A7C2537" w:rsidR="00B462F4" w:rsidRDefault="00B462F4" w:rsidP="00850709">
      <w:pPr>
        <w:numPr>
          <w:ilvl w:val="0"/>
          <w:numId w:val="3"/>
        </w:numPr>
        <w:ind w:left="142" w:hanging="284"/>
        <w:jc w:val="both"/>
      </w:pPr>
      <w:r>
        <w:t>Updated borrowing requirements will be included in the Council’s Treasury Management update.</w:t>
      </w:r>
    </w:p>
    <w:p w14:paraId="1C201D10" w14:textId="77777777" w:rsidR="00B462F4" w:rsidRDefault="00B462F4" w:rsidP="00A1211C">
      <w:pPr>
        <w:pStyle w:val="Heading3"/>
        <w:spacing w:before="240"/>
        <w:ind w:left="0" w:firstLine="0"/>
        <w:jc w:val="left"/>
      </w:pPr>
    </w:p>
    <w:p w14:paraId="2AB6653D" w14:textId="03F11957" w:rsidR="00AD1E77" w:rsidRDefault="001C7E35" w:rsidP="00A1211C">
      <w:pPr>
        <w:pStyle w:val="Heading3"/>
        <w:spacing w:before="240"/>
        <w:ind w:left="0" w:firstLine="0"/>
        <w:jc w:val="left"/>
      </w:pPr>
      <w:r>
        <w:t xml:space="preserve">Options considered  </w:t>
      </w:r>
    </w:p>
    <w:p w14:paraId="5365D7B3" w14:textId="77777777" w:rsidR="00D76560" w:rsidRPr="00D76560" w:rsidRDefault="00D76560" w:rsidP="00D76560"/>
    <w:p w14:paraId="384A62FD" w14:textId="77777777" w:rsidR="00B462F4" w:rsidRPr="00B462F4" w:rsidRDefault="00B462F4" w:rsidP="00B462F4">
      <w:pPr>
        <w:jc w:val="both"/>
        <w:rPr>
          <w:u w:val="single"/>
        </w:rPr>
      </w:pPr>
      <w:r w:rsidRPr="00B462F4">
        <w:rPr>
          <w:u w:val="single"/>
        </w:rPr>
        <w:t>Background</w:t>
      </w:r>
    </w:p>
    <w:p w14:paraId="18C466E5" w14:textId="77777777" w:rsidR="00B462F4" w:rsidRPr="00B462F4" w:rsidRDefault="00B462F4" w:rsidP="00B462F4">
      <w:pPr>
        <w:jc w:val="both"/>
        <w:rPr>
          <w:u w:val="single"/>
        </w:rPr>
      </w:pPr>
    </w:p>
    <w:p w14:paraId="41AC10A5" w14:textId="77777777" w:rsidR="00B462F4" w:rsidRPr="00B462F4" w:rsidRDefault="00B462F4" w:rsidP="00B462F4">
      <w:pPr>
        <w:jc w:val="both"/>
      </w:pPr>
    </w:p>
    <w:p w14:paraId="01075F4A" w14:textId="1B4DC100" w:rsidR="00B462F4" w:rsidRPr="00B462F4" w:rsidRDefault="00B462F4" w:rsidP="00850709">
      <w:pPr>
        <w:numPr>
          <w:ilvl w:val="0"/>
          <w:numId w:val="3"/>
        </w:numPr>
        <w:ind w:left="142" w:hanging="284"/>
        <w:jc w:val="both"/>
        <w:rPr>
          <w:rFonts w:cs="Arial"/>
          <w:bCs/>
          <w:szCs w:val="24"/>
        </w:rPr>
      </w:pPr>
      <w:r w:rsidRPr="00B462F4">
        <w:rPr>
          <w:rFonts w:cs="Arial"/>
          <w:bCs/>
          <w:szCs w:val="24"/>
        </w:rPr>
        <w:t>The HRA Business Plan has had to face a number of financial challenges over the last few years which have had a significant impact on the plan. Although Government have provided some clarity on future rent policy, this will not mitigate the financial loss to the business plan from enforced rent reductions over the last few years.</w:t>
      </w:r>
      <w:r w:rsidRPr="00B462F4">
        <w:t xml:space="preserve"> </w:t>
      </w:r>
      <w:r w:rsidRPr="00B462F4">
        <w:rPr>
          <w:rFonts w:cs="Arial"/>
          <w:bCs/>
          <w:szCs w:val="24"/>
        </w:rPr>
        <w:t xml:space="preserve">Each year the HRA Business Plan is reviewed and updated to set budgets and charges for the year ahead. It also provides an updated 5-year plan for our capital investment programme. These plans are set within the context of a 30-year affordability profile – our long-term planning horizon for balancing the HRA. HRA income predominately comes from tenant rents, with other income received from Right to Buy receipts and Government grant. HRA expenditure includes the capital investment programme, tenant services </w:t>
      </w:r>
      <w:r w:rsidR="0082610E" w:rsidRPr="00B462F4">
        <w:rPr>
          <w:rFonts w:cs="Arial"/>
          <w:bCs/>
          <w:szCs w:val="24"/>
        </w:rPr>
        <w:t>and repairs</w:t>
      </w:r>
      <w:r w:rsidRPr="00B462F4">
        <w:rPr>
          <w:rFonts w:cs="Arial"/>
          <w:bCs/>
          <w:szCs w:val="24"/>
        </w:rPr>
        <w:t xml:space="preserve"> and maintenance.</w:t>
      </w:r>
    </w:p>
    <w:p w14:paraId="12DF4917" w14:textId="77777777" w:rsidR="00B462F4" w:rsidRPr="00B462F4" w:rsidRDefault="00B462F4" w:rsidP="00B462F4">
      <w:pPr>
        <w:ind w:left="142"/>
        <w:jc w:val="both"/>
        <w:rPr>
          <w:rFonts w:cs="Arial"/>
          <w:bCs/>
          <w:szCs w:val="24"/>
        </w:rPr>
      </w:pPr>
    </w:p>
    <w:p w14:paraId="1B03BB78" w14:textId="10F1EADB" w:rsidR="00B462F4" w:rsidRPr="00B462F4" w:rsidRDefault="00B462F4" w:rsidP="00850709">
      <w:pPr>
        <w:numPr>
          <w:ilvl w:val="0"/>
          <w:numId w:val="3"/>
        </w:numPr>
        <w:ind w:left="142" w:hanging="284"/>
        <w:jc w:val="both"/>
        <w:rPr>
          <w:rFonts w:cs="Arial"/>
          <w:bCs/>
          <w:szCs w:val="24"/>
        </w:rPr>
      </w:pPr>
      <w:r w:rsidRPr="00B462F4">
        <w:rPr>
          <w:rFonts w:cs="Arial"/>
          <w:bCs/>
          <w:szCs w:val="24"/>
        </w:rPr>
        <w:t xml:space="preserve">Financial year 2019-20 was the last year of the Government imposed statutory rent reductions spanning the four years 2016-17 to 2019-20 inclusive and Government have since approved rent increases of up to CPI + 1% for five years 2020-21 to 2024-25 inclusive. Prior to Covid-19 and the increasing possibility of a no deal Brexit, it was considered not unreasonable to assume such increases would continue in the longer term. A review by external advisors has since suggested such increases may not now be possible therefore this update assumes rent increases will be limited to CPI only from April 2025 with the </w:t>
      </w:r>
      <w:r w:rsidR="0082610E" w:rsidRPr="00B462F4">
        <w:rPr>
          <w:rFonts w:cs="Arial"/>
          <w:bCs/>
          <w:szCs w:val="24"/>
        </w:rPr>
        <w:t>long-term</w:t>
      </w:r>
      <w:r w:rsidRPr="00B462F4">
        <w:rPr>
          <w:rFonts w:cs="Arial"/>
          <w:bCs/>
          <w:szCs w:val="24"/>
        </w:rPr>
        <w:t xml:space="preserve"> CPI target set at 2%.</w:t>
      </w:r>
    </w:p>
    <w:p w14:paraId="793BADD7" w14:textId="77777777" w:rsidR="00B462F4" w:rsidRPr="00B462F4" w:rsidRDefault="00B462F4" w:rsidP="00B462F4">
      <w:pPr>
        <w:ind w:left="142"/>
        <w:jc w:val="both"/>
        <w:rPr>
          <w:rFonts w:cs="Arial"/>
          <w:bCs/>
          <w:szCs w:val="24"/>
        </w:rPr>
      </w:pPr>
    </w:p>
    <w:p w14:paraId="0188FEFE" w14:textId="3872E82D" w:rsidR="00B462F4" w:rsidRPr="00B462F4" w:rsidRDefault="00B462F4" w:rsidP="00850709">
      <w:pPr>
        <w:numPr>
          <w:ilvl w:val="0"/>
          <w:numId w:val="3"/>
        </w:numPr>
        <w:ind w:left="142" w:hanging="284"/>
        <w:jc w:val="both"/>
        <w:rPr>
          <w:rFonts w:cs="Arial"/>
          <w:bCs/>
          <w:szCs w:val="24"/>
        </w:rPr>
      </w:pPr>
      <w:r w:rsidRPr="00B462F4">
        <w:rPr>
          <w:rFonts w:cs="Arial"/>
          <w:bCs/>
          <w:szCs w:val="24"/>
        </w:rPr>
        <w:t>Self-financing of the HRA, introduced in 2012, imposed a limit on the Council’s HRA borrowing of £150.683m, which was reached as at 31</w:t>
      </w:r>
      <w:r w:rsidRPr="00B462F4">
        <w:rPr>
          <w:rFonts w:cs="Arial"/>
          <w:bCs/>
          <w:szCs w:val="24"/>
          <w:vertAlign w:val="superscript"/>
        </w:rPr>
        <w:t>st</w:t>
      </w:r>
      <w:r w:rsidRPr="00B462F4">
        <w:rPr>
          <w:rFonts w:cs="Arial"/>
          <w:bCs/>
          <w:szCs w:val="24"/>
        </w:rPr>
        <w:t xml:space="preserve"> March 2019. The Council approved debt repayments in line with the level of RTBs therefore this debt has been reduced to £149.924m as at 31</w:t>
      </w:r>
      <w:r w:rsidRPr="00B462F4">
        <w:rPr>
          <w:rFonts w:cs="Arial"/>
          <w:bCs/>
          <w:szCs w:val="24"/>
          <w:vertAlign w:val="superscript"/>
        </w:rPr>
        <w:t>st</w:t>
      </w:r>
      <w:r w:rsidRPr="00B462F4">
        <w:rPr>
          <w:rFonts w:cs="Arial"/>
          <w:bCs/>
          <w:szCs w:val="24"/>
        </w:rPr>
        <w:t xml:space="preserve"> March 2020. In October 2018, Government issued a determination lifting the HRA debt </w:t>
      </w:r>
      <w:r w:rsidR="0082610E" w:rsidRPr="00B462F4">
        <w:rPr>
          <w:rFonts w:cs="Arial"/>
          <w:bCs/>
          <w:szCs w:val="24"/>
        </w:rPr>
        <w:t>cap, providing</w:t>
      </w:r>
      <w:r w:rsidRPr="00B462F4">
        <w:rPr>
          <w:rFonts w:cs="Arial"/>
          <w:bCs/>
          <w:szCs w:val="24"/>
        </w:rPr>
        <w:t xml:space="preserve"> more freedom and flexibility to undertake additional borrowing, specifically for new build schemes, subject to the principles of the Prudential Code for Capital Finance in Local Authorities of affordability, sustainability and prudence. As a result of this new borrowing flexibility </w:t>
      </w:r>
      <w:r w:rsidR="0082610E">
        <w:rPr>
          <w:rFonts w:cs="Arial"/>
          <w:bCs/>
          <w:szCs w:val="24"/>
        </w:rPr>
        <w:t xml:space="preserve"> </w:t>
      </w:r>
      <w:r w:rsidRPr="00B462F4">
        <w:rPr>
          <w:rFonts w:cs="Arial"/>
          <w:bCs/>
          <w:szCs w:val="24"/>
        </w:rPr>
        <w:t>the  aggregate additional borrowing will be £73.1m.</w:t>
      </w:r>
    </w:p>
    <w:p w14:paraId="7FAB051A" w14:textId="77777777" w:rsidR="00B462F4" w:rsidRPr="00B462F4" w:rsidRDefault="00B462F4" w:rsidP="00B462F4">
      <w:pPr>
        <w:ind w:left="720"/>
        <w:rPr>
          <w:rFonts w:cs="Arial"/>
          <w:bCs/>
          <w:szCs w:val="24"/>
        </w:rPr>
      </w:pPr>
    </w:p>
    <w:p w14:paraId="5EEFA471"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 xml:space="preserve">This has been supplemented by external funding totalling £42.144m from the GLA although the Council has submitted a further bid to extend the </w:t>
      </w:r>
      <w:proofErr w:type="spellStart"/>
      <w:r w:rsidRPr="00B462F4">
        <w:rPr>
          <w:rFonts w:cs="Arial"/>
          <w:bCs/>
          <w:szCs w:val="24"/>
        </w:rPr>
        <w:t>BCHfL</w:t>
      </w:r>
      <w:proofErr w:type="spellEnd"/>
      <w:r w:rsidRPr="00B462F4">
        <w:rPr>
          <w:rFonts w:cs="Arial"/>
          <w:bCs/>
          <w:szCs w:val="24"/>
        </w:rPr>
        <w:t xml:space="preserve"> programme within the HRA, the impact of which is included in the stress testing section later in the report.</w:t>
      </w:r>
    </w:p>
    <w:p w14:paraId="2A845AF1" w14:textId="77777777" w:rsidR="00B462F4" w:rsidRPr="00B462F4" w:rsidRDefault="00B462F4" w:rsidP="00B462F4">
      <w:pPr>
        <w:ind w:left="720"/>
        <w:rPr>
          <w:rFonts w:cs="Arial"/>
          <w:bCs/>
          <w:color w:val="0070C0"/>
          <w:szCs w:val="24"/>
        </w:rPr>
      </w:pPr>
    </w:p>
    <w:p w14:paraId="32A1ABDD" w14:textId="77777777" w:rsidR="00B462F4" w:rsidRDefault="00B462F4" w:rsidP="00B462F4">
      <w:pPr>
        <w:tabs>
          <w:tab w:val="left" w:pos="284"/>
        </w:tabs>
        <w:ind w:left="142"/>
        <w:jc w:val="both"/>
        <w:rPr>
          <w:rFonts w:cs="Arial"/>
          <w:bCs/>
          <w:szCs w:val="24"/>
        </w:rPr>
      </w:pPr>
    </w:p>
    <w:p w14:paraId="2B042099" w14:textId="77777777" w:rsidR="00F00F23" w:rsidRPr="00B462F4" w:rsidRDefault="00F00F23" w:rsidP="00B462F4">
      <w:pPr>
        <w:tabs>
          <w:tab w:val="left" w:pos="284"/>
        </w:tabs>
        <w:ind w:left="142"/>
        <w:jc w:val="both"/>
        <w:rPr>
          <w:rFonts w:cs="Arial"/>
          <w:bCs/>
          <w:szCs w:val="24"/>
        </w:rPr>
      </w:pPr>
    </w:p>
    <w:p w14:paraId="7F4B0EBB" w14:textId="77777777" w:rsidR="00B462F4" w:rsidRPr="00B462F4" w:rsidRDefault="00B462F4" w:rsidP="00B462F4">
      <w:pPr>
        <w:ind w:left="142"/>
        <w:jc w:val="both"/>
        <w:rPr>
          <w:rFonts w:cs="Arial"/>
          <w:bCs/>
          <w:szCs w:val="24"/>
          <w:u w:val="single"/>
        </w:rPr>
      </w:pPr>
      <w:r w:rsidRPr="00B462F4">
        <w:rPr>
          <w:rFonts w:cs="Arial"/>
          <w:bCs/>
          <w:szCs w:val="24"/>
          <w:u w:val="single"/>
        </w:rPr>
        <w:lastRenderedPageBreak/>
        <w:t>Options</w:t>
      </w:r>
    </w:p>
    <w:p w14:paraId="7D8106C7" w14:textId="77777777" w:rsidR="00B462F4" w:rsidRPr="00B462F4" w:rsidRDefault="00B462F4" w:rsidP="00B462F4">
      <w:pPr>
        <w:jc w:val="both"/>
        <w:rPr>
          <w:rFonts w:cs="Arial"/>
          <w:bCs/>
          <w:szCs w:val="24"/>
        </w:rPr>
      </w:pPr>
    </w:p>
    <w:p w14:paraId="59EE0165" w14:textId="2B41E55C"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The Council can continue to progress the construction of up to 659 units through three options or stop or curtail the scheme under the fourth option:</w:t>
      </w:r>
    </w:p>
    <w:p w14:paraId="1AB85856" w14:textId="77777777" w:rsidR="00B462F4" w:rsidRPr="00B462F4" w:rsidRDefault="00B462F4" w:rsidP="00B462F4">
      <w:pPr>
        <w:tabs>
          <w:tab w:val="left" w:pos="284"/>
        </w:tabs>
        <w:ind w:left="142"/>
        <w:jc w:val="both"/>
        <w:rPr>
          <w:rFonts w:cs="Arial"/>
          <w:bCs/>
          <w:szCs w:val="24"/>
        </w:rPr>
      </w:pPr>
    </w:p>
    <w:p w14:paraId="2D218A26" w14:textId="77777777" w:rsidR="00B462F4" w:rsidRPr="00B462F4" w:rsidRDefault="00B462F4" w:rsidP="00850709">
      <w:pPr>
        <w:numPr>
          <w:ilvl w:val="0"/>
          <w:numId w:val="9"/>
        </w:numPr>
        <w:tabs>
          <w:tab w:val="left" w:pos="284"/>
        </w:tabs>
        <w:jc w:val="both"/>
        <w:rPr>
          <w:rFonts w:cs="Arial"/>
          <w:bCs/>
          <w:szCs w:val="24"/>
        </w:rPr>
      </w:pPr>
      <w:r w:rsidRPr="00B462F4">
        <w:rPr>
          <w:rFonts w:cs="Arial"/>
          <w:bCs/>
          <w:szCs w:val="24"/>
        </w:rPr>
        <w:t>First option, through the HRA</w:t>
      </w:r>
    </w:p>
    <w:p w14:paraId="7ABDA267" w14:textId="77777777" w:rsidR="00B462F4" w:rsidRPr="00B462F4" w:rsidRDefault="00B462F4" w:rsidP="00850709">
      <w:pPr>
        <w:numPr>
          <w:ilvl w:val="0"/>
          <w:numId w:val="9"/>
        </w:numPr>
        <w:tabs>
          <w:tab w:val="left" w:pos="284"/>
        </w:tabs>
        <w:jc w:val="both"/>
        <w:rPr>
          <w:rFonts w:cs="Arial"/>
          <w:bCs/>
          <w:szCs w:val="24"/>
        </w:rPr>
      </w:pPr>
      <w:r w:rsidRPr="00B462F4">
        <w:rPr>
          <w:rFonts w:cs="Arial"/>
          <w:bCs/>
          <w:szCs w:val="24"/>
        </w:rPr>
        <w:t xml:space="preserve">Second option, an alternative delivery model to support the programme should the HRA Business Plan suggest a level of risk which cannot be reasonably mitigated. </w:t>
      </w:r>
    </w:p>
    <w:p w14:paraId="580C3803" w14:textId="77777777" w:rsidR="00B462F4" w:rsidRPr="00B462F4" w:rsidRDefault="00B462F4" w:rsidP="00850709">
      <w:pPr>
        <w:numPr>
          <w:ilvl w:val="0"/>
          <w:numId w:val="9"/>
        </w:numPr>
        <w:tabs>
          <w:tab w:val="left" w:pos="284"/>
        </w:tabs>
        <w:jc w:val="both"/>
        <w:rPr>
          <w:rFonts w:cs="Arial"/>
          <w:bCs/>
          <w:szCs w:val="24"/>
        </w:rPr>
      </w:pPr>
      <w:r w:rsidRPr="00B462F4">
        <w:rPr>
          <w:rFonts w:cs="Arial"/>
          <w:bCs/>
          <w:szCs w:val="24"/>
        </w:rPr>
        <w:t>Third option, combination of the above two</w:t>
      </w:r>
    </w:p>
    <w:p w14:paraId="67CDA8D3" w14:textId="77777777" w:rsidR="00B462F4" w:rsidRPr="00B462F4" w:rsidRDefault="00B462F4" w:rsidP="00850709">
      <w:pPr>
        <w:numPr>
          <w:ilvl w:val="0"/>
          <w:numId w:val="9"/>
        </w:numPr>
        <w:tabs>
          <w:tab w:val="left" w:pos="284"/>
        </w:tabs>
        <w:jc w:val="both"/>
        <w:rPr>
          <w:rFonts w:cs="Arial"/>
          <w:bCs/>
          <w:szCs w:val="24"/>
        </w:rPr>
      </w:pPr>
      <w:r w:rsidRPr="00B462F4">
        <w:rPr>
          <w:rFonts w:cs="Arial"/>
          <w:bCs/>
          <w:szCs w:val="24"/>
        </w:rPr>
        <w:t>Fourth option, stopping or significantly curtailing construction</w:t>
      </w:r>
    </w:p>
    <w:p w14:paraId="57D28968" w14:textId="77777777" w:rsidR="00B462F4" w:rsidRPr="00B462F4" w:rsidRDefault="00B462F4" w:rsidP="00B462F4">
      <w:pPr>
        <w:tabs>
          <w:tab w:val="left" w:pos="284"/>
        </w:tabs>
        <w:jc w:val="both"/>
        <w:rPr>
          <w:rFonts w:cs="Arial"/>
          <w:bCs/>
          <w:szCs w:val="24"/>
        </w:rPr>
      </w:pPr>
    </w:p>
    <w:p w14:paraId="42EE440E" w14:textId="77777777" w:rsidR="00B462F4" w:rsidRPr="00B462F4" w:rsidRDefault="00B462F4" w:rsidP="00B462F4">
      <w:pPr>
        <w:tabs>
          <w:tab w:val="left" w:pos="284"/>
        </w:tabs>
        <w:ind w:left="142"/>
        <w:jc w:val="both"/>
        <w:rPr>
          <w:rFonts w:cs="Arial"/>
          <w:bCs/>
          <w:szCs w:val="24"/>
        </w:rPr>
      </w:pPr>
    </w:p>
    <w:p w14:paraId="49B5AECB" w14:textId="77777777" w:rsidR="00B462F4" w:rsidRPr="00B462F4" w:rsidRDefault="00B462F4" w:rsidP="00B462F4">
      <w:pPr>
        <w:ind w:left="284" w:hanging="426"/>
        <w:jc w:val="both"/>
        <w:rPr>
          <w:rFonts w:cs="Arial"/>
          <w:bCs/>
          <w:szCs w:val="24"/>
        </w:rPr>
      </w:pPr>
      <w:r w:rsidRPr="00B462F4">
        <w:rPr>
          <w:rFonts w:cs="Arial"/>
          <w:bCs/>
          <w:szCs w:val="24"/>
          <w:u w:val="single"/>
        </w:rPr>
        <w:t>Option 1: Continue with the new build programme within the HRA</w:t>
      </w:r>
    </w:p>
    <w:p w14:paraId="59FF7630" w14:textId="77777777" w:rsidR="00B462F4" w:rsidRPr="00B462F4" w:rsidRDefault="00B462F4" w:rsidP="00B462F4">
      <w:pPr>
        <w:ind w:left="284" w:hanging="426"/>
        <w:jc w:val="both"/>
        <w:rPr>
          <w:rFonts w:cs="Arial"/>
          <w:bCs/>
          <w:szCs w:val="24"/>
        </w:rPr>
      </w:pPr>
    </w:p>
    <w:p w14:paraId="3866047A"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 xml:space="preserve">This would provide up to 659 additional units across a mix of tenures including Affordable Rented and shared ownership as part of the </w:t>
      </w:r>
      <w:proofErr w:type="spellStart"/>
      <w:r w:rsidRPr="00B462F4">
        <w:rPr>
          <w:rFonts w:cs="Arial"/>
          <w:bCs/>
          <w:szCs w:val="24"/>
        </w:rPr>
        <w:t>BCHfL</w:t>
      </w:r>
      <w:proofErr w:type="spellEnd"/>
      <w:r w:rsidRPr="00B462F4">
        <w:rPr>
          <w:rFonts w:cs="Arial"/>
          <w:bCs/>
          <w:szCs w:val="24"/>
        </w:rPr>
        <w:t xml:space="preserve"> programme</w:t>
      </w:r>
    </w:p>
    <w:p w14:paraId="3CC68B85" w14:textId="77777777" w:rsidR="00B462F4" w:rsidRPr="00B462F4" w:rsidRDefault="00B462F4" w:rsidP="00B462F4">
      <w:pPr>
        <w:ind w:left="284" w:hanging="426"/>
        <w:jc w:val="both"/>
        <w:rPr>
          <w:rFonts w:cs="Arial"/>
          <w:bCs/>
          <w:szCs w:val="24"/>
        </w:rPr>
      </w:pPr>
    </w:p>
    <w:p w14:paraId="27E346EF"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Full utilisation of approved grant and borrowing would be assumed and tested against a broader suite of assumptions in the HRA Business Plan.</w:t>
      </w:r>
    </w:p>
    <w:p w14:paraId="5524FB97" w14:textId="77777777" w:rsidR="00B462F4" w:rsidRPr="00B462F4" w:rsidRDefault="00B462F4" w:rsidP="00B462F4">
      <w:pPr>
        <w:ind w:left="284" w:hanging="426"/>
        <w:jc w:val="both"/>
        <w:rPr>
          <w:rFonts w:cs="Arial"/>
          <w:bCs/>
          <w:szCs w:val="24"/>
        </w:rPr>
      </w:pPr>
    </w:p>
    <w:p w14:paraId="06D4B59D"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Regular review and testing of assumptions would ensure continued viability given changing macro-economic and regulatory assumptions with appropriate mitigations against identified risks:</w:t>
      </w:r>
    </w:p>
    <w:p w14:paraId="2947EEC6" w14:textId="77777777" w:rsidR="00B462F4" w:rsidRPr="00B462F4" w:rsidRDefault="00B462F4" w:rsidP="00B462F4">
      <w:pPr>
        <w:ind w:left="284" w:hanging="426"/>
        <w:jc w:val="both"/>
        <w:rPr>
          <w:rFonts w:cs="Arial"/>
          <w:bCs/>
          <w:szCs w:val="24"/>
        </w:rPr>
      </w:pPr>
    </w:p>
    <w:p w14:paraId="479FF83F" w14:textId="77777777" w:rsidR="00B462F4" w:rsidRPr="00B462F4" w:rsidRDefault="00B462F4" w:rsidP="00850709">
      <w:pPr>
        <w:numPr>
          <w:ilvl w:val="0"/>
          <w:numId w:val="5"/>
        </w:numPr>
        <w:autoSpaceDE w:val="0"/>
        <w:autoSpaceDN w:val="0"/>
        <w:adjustRightInd w:val="0"/>
        <w:ind w:left="567" w:hanging="283"/>
        <w:jc w:val="both"/>
        <w:rPr>
          <w:rFonts w:cs="Arial"/>
          <w:szCs w:val="24"/>
          <w:lang w:eastAsia="en-GB"/>
        </w:rPr>
      </w:pPr>
      <w:r w:rsidRPr="00B462F4">
        <w:rPr>
          <w:rFonts w:cs="Arial"/>
          <w:b/>
          <w:bCs/>
          <w:szCs w:val="24"/>
          <w:lang w:eastAsia="en-GB"/>
        </w:rPr>
        <w:t xml:space="preserve">Scheme phasing </w:t>
      </w:r>
      <w:r w:rsidRPr="00B462F4">
        <w:rPr>
          <w:rFonts w:cs="Arial"/>
          <w:szCs w:val="24"/>
          <w:lang w:eastAsia="en-GB"/>
        </w:rPr>
        <w:t>– new build schemes will be procured in a phased manner once planning consents are secured and the Business Plan re-evaluated to ensure continued viability. This would prevent over extension of resources which would otherwise adversely impact on delivery of core services. Borrowing would also be drawn down in phases to limit the Council’s exposure to debt in accordance with the Council’s Treasury Management Strategy.</w:t>
      </w:r>
    </w:p>
    <w:p w14:paraId="5F036C51" w14:textId="77777777" w:rsidR="00B462F4" w:rsidRPr="00B462F4" w:rsidRDefault="00B462F4" w:rsidP="00B462F4">
      <w:pPr>
        <w:autoSpaceDE w:val="0"/>
        <w:autoSpaceDN w:val="0"/>
        <w:adjustRightInd w:val="0"/>
        <w:jc w:val="both"/>
        <w:rPr>
          <w:rFonts w:cs="Arial"/>
          <w:szCs w:val="24"/>
          <w:lang w:eastAsia="en-GB"/>
        </w:rPr>
      </w:pPr>
    </w:p>
    <w:p w14:paraId="215F3AB1" w14:textId="77777777" w:rsidR="00B462F4" w:rsidRPr="00B462F4" w:rsidRDefault="00B462F4" w:rsidP="00850709">
      <w:pPr>
        <w:numPr>
          <w:ilvl w:val="0"/>
          <w:numId w:val="5"/>
        </w:numPr>
        <w:autoSpaceDE w:val="0"/>
        <w:autoSpaceDN w:val="0"/>
        <w:adjustRightInd w:val="0"/>
        <w:ind w:left="567" w:hanging="283"/>
        <w:jc w:val="both"/>
        <w:rPr>
          <w:rFonts w:cs="Arial"/>
          <w:szCs w:val="24"/>
          <w:lang w:eastAsia="en-GB"/>
        </w:rPr>
      </w:pPr>
      <w:r w:rsidRPr="00B462F4">
        <w:rPr>
          <w:rFonts w:cs="Arial"/>
          <w:b/>
          <w:bCs/>
          <w:szCs w:val="24"/>
          <w:lang w:eastAsia="en-GB"/>
        </w:rPr>
        <w:t xml:space="preserve">Regular re-appraisal </w:t>
      </w:r>
      <w:r w:rsidRPr="00B462F4">
        <w:rPr>
          <w:rFonts w:cs="Arial"/>
          <w:szCs w:val="24"/>
          <w:lang w:eastAsia="en-GB"/>
        </w:rPr>
        <w:t>– Business Planning process to continue with reappraisals addressing a range of factors including scheme costs</w:t>
      </w:r>
      <w:r w:rsidRPr="00B462F4">
        <w:rPr>
          <w:rFonts w:cs="Arial"/>
          <w:bCs/>
          <w:szCs w:val="24"/>
          <w:lang w:eastAsia="en-GB"/>
        </w:rPr>
        <w:t xml:space="preserve">, </w:t>
      </w:r>
      <w:r w:rsidRPr="00B462F4">
        <w:rPr>
          <w:rFonts w:cs="Arial"/>
          <w:szCs w:val="24"/>
          <w:lang w:eastAsia="en-GB"/>
        </w:rPr>
        <w:t xml:space="preserve">interest rates, inflation and regulatory issues </w:t>
      </w:r>
    </w:p>
    <w:p w14:paraId="5D5B54EB" w14:textId="77777777" w:rsidR="00B462F4" w:rsidRPr="00B462F4" w:rsidRDefault="00B462F4" w:rsidP="00B462F4">
      <w:pPr>
        <w:autoSpaceDE w:val="0"/>
        <w:autoSpaceDN w:val="0"/>
        <w:adjustRightInd w:val="0"/>
        <w:ind w:left="567"/>
        <w:jc w:val="both"/>
        <w:rPr>
          <w:rFonts w:cs="Arial"/>
          <w:color w:val="0070C0"/>
          <w:szCs w:val="24"/>
          <w:lang w:eastAsia="en-GB"/>
        </w:rPr>
      </w:pPr>
    </w:p>
    <w:p w14:paraId="13D59331" w14:textId="77777777" w:rsidR="00B462F4" w:rsidRPr="00B462F4" w:rsidRDefault="00B462F4" w:rsidP="00850709">
      <w:pPr>
        <w:numPr>
          <w:ilvl w:val="0"/>
          <w:numId w:val="5"/>
        </w:numPr>
        <w:autoSpaceDE w:val="0"/>
        <w:autoSpaceDN w:val="0"/>
        <w:adjustRightInd w:val="0"/>
        <w:ind w:left="567" w:hanging="283"/>
        <w:jc w:val="both"/>
        <w:rPr>
          <w:rFonts w:cs="Arial"/>
          <w:szCs w:val="24"/>
          <w:lang w:eastAsia="en-GB"/>
        </w:rPr>
      </w:pPr>
      <w:r w:rsidRPr="00B462F4">
        <w:rPr>
          <w:rFonts w:cs="Arial"/>
          <w:b/>
          <w:bCs/>
          <w:szCs w:val="24"/>
          <w:lang w:eastAsia="en-GB"/>
        </w:rPr>
        <w:t xml:space="preserve">Earmarked reserves </w:t>
      </w:r>
      <w:r w:rsidRPr="00B462F4">
        <w:rPr>
          <w:rFonts w:cs="Arial"/>
          <w:szCs w:val="24"/>
          <w:lang w:eastAsia="en-GB"/>
        </w:rPr>
        <w:t>– A client contingency has been set up to safeguard against unforeseen events and regulatory reforms; this will ensure specific resources are set aside and kept separate from general reserves, balance £173k as at 31</w:t>
      </w:r>
      <w:r w:rsidRPr="00B462F4">
        <w:rPr>
          <w:rFonts w:cs="Arial"/>
          <w:szCs w:val="24"/>
          <w:vertAlign w:val="superscript"/>
          <w:lang w:eastAsia="en-GB"/>
        </w:rPr>
        <w:t>st</w:t>
      </w:r>
      <w:r w:rsidRPr="00B462F4">
        <w:rPr>
          <w:rFonts w:cs="Arial"/>
          <w:szCs w:val="24"/>
          <w:lang w:eastAsia="en-GB"/>
        </w:rPr>
        <w:t xml:space="preserve"> March 2020 with a view to augmentation.</w:t>
      </w:r>
    </w:p>
    <w:p w14:paraId="037C6DC9" w14:textId="77777777" w:rsidR="00B462F4" w:rsidRPr="00B462F4" w:rsidRDefault="00B462F4" w:rsidP="00B462F4">
      <w:pPr>
        <w:ind w:left="720"/>
        <w:rPr>
          <w:rFonts w:cs="Arial"/>
          <w:szCs w:val="24"/>
          <w:lang w:eastAsia="en-GB"/>
        </w:rPr>
      </w:pPr>
    </w:p>
    <w:p w14:paraId="578C6739" w14:textId="77777777" w:rsidR="00B462F4" w:rsidRPr="00B462F4" w:rsidRDefault="00B462F4" w:rsidP="00850709">
      <w:pPr>
        <w:numPr>
          <w:ilvl w:val="0"/>
          <w:numId w:val="5"/>
        </w:numPr>
        <w:autoSpaceDE w:val="0"/>
        <w:autoSpaceDN w:val="0"/>
        <w:adjustRightInd w:val="0"/>
        <w:ind w:left="567" w:hanging="283"/>
        <w:jc w:val="both"/>
        <w:rPr>
          <w:rFonts w:cs="Arial"/>
          <w:szCs w:val="24"/>
          <w:lang w:eastAsia="en-GB"/>
        </w:rPr>
      </w:pPr>
      <w:r w:rsidRPr="00B462F4">
        <w:rPr>
          <w:rFonts w:cs="Arial"/>
          <w:b/>
          <w:bCs/>
          <w:szCs w:val="24"/>
          <w:lang w:eastAsia="en-GB"/>
        </w:rPr>
        <w:t>Government announcements</w:t>
      </w:r>
      <w:r w:rsidRPr="00B462F4">
        <w:rPr>
          <w:rFonts w:cs="Arial"/>
          <w:szCs w:val="24"/>
          <w:lang w:eastAsia="en-GB"/>
        </w:rPr>
        <w:t xml:space="preserve"> –Uncertainty still remains mainly due to the unknown impacts of </w:t>
      </w:r>
      <w:proofErr w:type="spellStart"/>
      <w:r w:rsidRPr="00B462F4">
        <w:rPr>
          <w:rFonts w:cs="Arial"/>
          <w:szCs w:val="24"/>
          <w:lang w:eastAsia="en-GB"/>
        </w:rPr>
        <w:t>Covid</w:t>
      </w:r>
      <w:proofErr w:type="spellEnd"/>
      <w:r w:rsidRPr="00B462F4">
        <w:rPr>
          <w:rFonts w:cs="Arial"/>
          <w:szCs w:val="24"/>
          <w:lang w:eastAsia="en-GB"/>
        </w:rPr>
        <w:t xml:space="preserve"> 19, Brexit and future Government policy as well as the full effects of Welfare Reform and the demands on social landlords post Grenfell.</w:t>
      </w:r>
      <w:r w:rsidRPr="00B462F4">
        <w:t xml:space="preserve"> </w:t>
      </w:r>
      <w:r w:rsidRPr="00B462F4">
        <w:rPr>
          <w:rFonts w:cs="Arial"/>
          <w:szCs w:val="24"/>
          <w:lang w:eastAsia="en-GB"/>
        </w:rPr>
        <w:t xml:space="preserve">The four year mandatory rent reduction period ended on 31 March 2020. The Regulator of Social Housing’s Rent Standard made provision for an annual increase in social housing (including local authority) rents of CPI +1% with effect from 6 April 2020.  </w:t>
      </w:r>
    </w:p>
    <w:p w14:paraId="4060E02E" w14:textId="77777777" w:rsidR="00B462F4" w:rsidRPr="00B462F4" w:rsidRDefault="00B462F4" w:rsidP="00B462F4">
      <w:pPr>
        <w:autoSpaceDE w:val="0"/>
        <w:autoSpaceDN w:val="0"/>
        <w:adjustRightInd w:val="0"/>
        <w:ind w:left="720"/>
        <w:jc w:val="both"/>
        <w:rPr>
          <w:rFonts w:cs="Arial"/>
          <w:szCs w:val="24"/>
          <w:lang w:eastAsia="en-GB"/>
        </w:rPr>
      </w:pPr>
    </w:p>
    <w:p w14:paraId="5F8522D2" w14:textId="21B065BE" w:rsidR="00B462F4" w:rsidRPr="00B462F4" w:rsidRDefault="00B462F4" w:rsidP="00850709">
      <w:pPr>
        <w:numPr>
          <w:ilvl w:val="0"/>
          <w:numId w:val="5"/>
        </w:numPr>
        <w:autoSpaceDE w:val="0"/>
        <w:autoSpaceDN w:val="0"/>
        <w:adjustRightInd w:val="0"/>
        <w:ind w:left="567" w:hanging="283"/>
        <w:jc w:val="both"/>
        <w:rPr>
          <w:rFonts w:cs="Arial"/>
          <w:szCs w:val="24"/>
          <w:lang w:eastAsia="en-GB"/>
        </w:rPr>
      </w:pPr>
      <w:r w:rsidRPr="00B462F4">
        <w:rPr>
          <w:rFonts w:cs="Arial"/>
          <w:b/>
          <w:bCs/>
          <w:szCs w:val="24"/>
          <w:lang w:eastAsia="en-GB"/>
        </w:rPr>
        <w:t>Rent policy</w:t>
      </w:r>
      <w:r w:rsidRPr="00B462F4">
        <w:rPr>
          <w:rFonts w:cs="Arial"/>
          <w:szCs w:val="24"/>
          <w:lang w:eastAsia="en-GB"/>
        </w:rPr>
        <w:t xml:space="preserve"> - We recognise that a return to a CPI + 1% rent increase each year will mean tenants having to pay more to rent their homes from the Council.  However</w:t>
      </w:r>
      <w:r w:rsidR="0082610E">
        <w:rPr>
          <w:rFonts w:cs="Arial"/>
          <w:szCs w:val="24"/>
          <w:lang w:eastAsia="en-GB"/>
        </w:rPr>
        <w:t>,</w:t>
      </w:r>
      <w:r w:rsidRPr="00B462F4">
        <w:rPr>
          <w:rFonts w:cs="Arial"/>
          <w:szCs w:val="24"/>
          <w:lang w:eastAsia="en-GB"/>
        </w:rPr>
        <w:t xml:space="preserve"> this increased income is vital if we are to maintain services to tenants and develop more social housing to address the needs of local people. The return to a rent increase will not mitigate the losses of the past five years and means that we are now setting rents at a lower baseline than we otherwise would have been. Previous Government Guidance on Social Rents policy of CPI + 1% was intended to apply for 10 years from 2015 but only lasted a year before the statutory decrease came in.  There is a risk that this future rent policy may change again and will necessitate remodelling although the withdrawal of CPI + 1% increases post 2025 have already been addressed.</w:t>
      </w:r>
    </w:p>
    <w:p w14:paraId="1195B187" w14:textId="77777777" w:rsidR="00B462F4" w:rsidRPr="00B462F4" w:rsidRDefault="00B462F4" w:rsidP="00B462F4">
      <w:pPr>
        <w:ind w:left="284" w:hanging="426"/>
        <w:jc w:val="both"/>
        <w:rPr>
          <w:rFonts w:cs="Arial"/>
          <w:bCs/>
          <w:color w:val="0070C0"/>
          <w:szCs w:val="24"/>
        </w:rPr>
      </w:pPr>
    </w:p>
    <w:p w14:paraId="36C83659" w14:textId="77777777" w:rsidR="00B462F4" w:rsidRPr="00B462F4" w:rsidRDefault="00B462F4" w:rsidP="00B462F4">
      <w:pPr>
        <w:ind w:left="284" w:hanging="426"/>
        <w:jc w:val="both"/>
        <w:rPr>
          <w:rFonts w:cs="Arial"/>
          <w:bCs/>
          <w:szCs w:val="24"/>
          <w:u w:val="single"/>
        </w:rPr>
      </w:pPr>
      <w:r w:rsidRPr="00B462F4">
        <w:rPr>
          <w:rFonts w:cs="Arial"/>
          <w:bCs/>
          <w:szCs w:val="24"/>
          <w:u w:val="single"/>
        </w:rPr>
        <w:t>Option 2 : Consider alternative delivery models</w:t>
      </w:r>
    </w:p>
    <w:p w14:paraId="39D9D7EA" w14:textId="77777777" w:rsidR="00B462F4" w:rsidRPr="00B462F4" w:rsidRDefault="00B462F4" w:rsidP="00B462F4">
      <w:pPr>
        <w:ind w:left="284" w:hanging="426"/>
        <w:jc w:val="both"/>
        <w:rPr>
          <w:rFonts w:cs="Arial"/>
          <w:bCs/>
          <w:szCs w:val="24"/>
        </w:rPr>
      </w:pPr>
    </w:p>
    <w:p w14:paraId="753CEED7" w14:textId="77777777" w:rsidR="00B462F4" w:rsidRPr="00B462F4" w:rsidRDefault="00B462F4" w:rsidP="00850709">
      <w:pPr>
        <w:numPr>
          <w:ilvl w:val="0"/>
          <w:numId w:val="5"/>
        </w:numPr>
        <w:jc w:val="both"/>
        <w:rPr>
          <w:rFonts w:cs="Arial"/>
          <w:bCs/>
          <w:szCs w:val="24"/>
        </w:rPr>
      </w:pPr>
      <w:r w:rsidRPr="00B462F4">
        <w:rPr>
          <w:rFonts w:cs="Arial"/>
          <w:bCs/>
          <w:szCs w:val="24"/>
        </w:rPr>
        <w:t>The HRA Business Plan is predicated on a suite of assumptions which can potentially have a significant impact on the viability of the service.</w:t>
      </w:r>
    </w:p>
    <w:p w14:paraId="3DA3AF35" w14:textId="77777777" w:rsidR="00B462F4" w:rsidRPr="00B462F4" w:rsidRDefault="00B462F4" w:rsidP="00B462F4">
      <w:pPr>
        <w:ind w:left="720"/>
        <w:jc w:val="both"/>
        <w:rPr>
          <w:rFonts w:cs="Arial"/>
          <w:bCs/>
          <w:szCs w:val="24"/>
        </w:rPr>
      </w:pPr>
    </w:p>
    <w:p w14:paraId="4B855CE5" w14:textId="77777777" w:rsidR="00B462F4" w:rsidRPr="00B462F4" w:rsidRDefault="00B462F4" w:rsidP="00850709">
      <w:pPr>
        <w:numPr>
          <w:ilvl w:val="0"/>
          <w:numId w:val="5"/>
        </w:numPr>
        <w:jc w:val="both"/>
        <w:rPr>
          <w:rFonts w:cs="Arial"/>
          <w:bCs/>
          <w:szCs w:val="24"/>
        </w:rPr>
      </w:pPr>
      <w:r w:rsidRPr="00B462F4">
        <w:rPr>
          <w:rFonts w:cs="Arial"/>
          <w:bCs/>
          <w:szCs w:val="24"/>
        </w:rPr>
        <w:t>Although the Business Plan has been stress tested for changes in key assumptions, it is considered prudent for the Council to remain prepared to consider and expedite alternative delivery models to ensure the new housing supply is achieved in full as part of the HRA’s risk management strategy.</w:t>
      </w:r>
    </w:p>
    <w:p w14:paraId="56499275" w14:textId="77777777" w:rsidR="00B462F4" w:rsidRPr="00B462F4" w:rsidRDefault="00B462F4" w:rsidP="00B462F4">
      <w:pPr>
        <w:ind w:left="720"/>
        <w:jc w:val="both"/>
        <w:rPr>
          <w:rFonts w:cs="Arial"/>
          <w:bCs/>
          <w:szCs w:val="24"/>
        </w:rPr>
      </w:pPr>
    </w:p>
    <w:p w14:paraId="5F848777" w14:textId="77777777" w:rsidR="00B462F4" w:rsidRPr="00B462F4" w:rsidRDefault="00B462F4" w:rsidP="00850709">
      <w:pPr>
        <w:numPr>
          <w:ilvl w:val="0"/>
          <w:numId w:val="5"/>
        </w:numPr>
        <w:jc w:val="both"/>
        <w:rPr>
          <w:rFonts w:cs="Arial"/>
          <w:bCs/>
          <w:szCs w:val="24"/>
        </w:rPr>
      </w:pPr>
      <w:r w:rsidRPr="00B462F4">
        <w:rPr>
          <w:rFonts w:cs="Arial"/>
          <w:bCs/>
          <w:szCs w:val="24"/>
        </w:rPr>
        <w:t>Work is planned in considering these options in the context of the Council’s wider regeneration aspirations and will be reported, together with the procurement options and their likely financial impact</w:t>
      </w:r>
    </w:p>
    <w:p w14:paraId="7A4DCED2" w14:textId="77777777" w:rsidR="00B462F4" w:rsidRPr="00B462F4" w:rsidRDefault="00B462F4" w:rsidP="00B462F4">
      <w:pPr>
        <w:ind w:left="284" w:hanging="426"/>
        <w:jc w:val="both"/>
        <w:rPr>
          <w:rFonts w:cs="Arial"/>
          <w:bCs/>
          <w:szCs w:val="24"/>
        </w:rPr>
      </w:pPr>
    </w:p>
    <w:p w14:paraId="16045264" w14:textId="77777777" w:rsidR="00B462F4" w:rsidRPr="00B462F4" w:rsidRDefault="00B462F4" w:rsidP="00B462F4">
      <w:pPr>
        <w:ind w:left="284" w:hanging="426"/>
        <w:jc w:val="both"/>
        <w:rPr>
          <w:rFonts w:cs="Arial"/>
          <w:bCs/>
          <w:szCs w:val="24"/>
          <w:u w:val="single"/>
        </w:rPr>
      </w:pPr>
      <w:r w:rsidRPr="00B462F4">
        <w:rPr>
          <w:rFonts w:cs="Arial"/>
          <w:bCs/>
          <w:szCs w:val="24"/>
          <w:u w:val="single"/>
        </w:rPr>
        <w:t>Option 3 : Combination of development within the HRA combined with alternative delivery option.</w:t>
      </w:r>
    </w:p>
    <w:p w14:paraId="3ED982CC" w14:textId="77777777" w:rsidR="00B462F4" w:rsidRPr="00B462F4" w:rsidRDefault="00B462F4" w:rsidP="00B462F4">
      <w:pPr>
        <w:ind w:left="284" w:hanging="426"/>
        <w:jc w:val="both"/>
        <w:rPr>
          <w:rFonts w:cs="Arial"/>
          <w:bCs/>
          <w:szCs w:val="24"/>
        </w:rPr>
      </w:pPr>
    </w:p>
    <w:p w14:paraId="397B95FD" w14:textId="77777777" w:rsidR="00B462F4" w:rsidRPr="00B462F4" w:rsidRDefault="00B462F4" w:rsidP="00850709">
      <w:pPr>
        <w:numPr>
          <w:ilvl w:val="0"/>
          <w:numId w:val="5"/>
        </w:numPr>
        <w:jc w:val="both"/>
        <w:rPr>
          <w:rFonts w:cs="Arial"/>
          <w:bCs/>
          <w:szCs w:val="24"/>
        </w:rPr>
      </w:pPr>
      <w:r w:rsidRPr="00B462F4">
        <w:rPr>
          <w:rFonts w:cs="Arial"/>
          <w:bCs/>
          <w:szCs w:val="24"/>
        </w:rPr>
        <w:t>The costs and procurement route of entering into an alternative arrangement to support development within the Council’s HRA are currently being worked on and will be reported to Cabinet later in the financial year.</w:t>
      </w:r>
    </w:p>
    <w:p w14:paraId="5535E87F" w14:textId="77777777" w:rsidR="00B462F4" w:rsidRPr="00B462F4" w:rsidRDefault="00B462F4" w:rsidP="00B462F4">
      <w:pPr>
        <w:ind w:left="720"/>
        <w:jc w:val="both"/>
        <w:rPr>
          <w:rFonts w:cs="Arial"/>
          <w:bCs/>
          <w:szCs w:val="24"/>
        </w:rPr>
      </w:pPr>
    </w:p>
    <w:p w14:paraId="102524F5" w14:textId="77777777" w:rsidR="00B462F4" w:rsidRPr="00B462F4" w:rsidRDefault="00B462F4" w:rsidP="00850709">
      <w:pPr>
        <w:numPr>
          <w:ilvl w:val="0"/>
          <w:numId w:val="5"/>
        </w:numPr>
        <w:jc w:val="both"/>
        <w:rPr>
          <w:rFonts w:cs="Arial"/>
          <w:bCs/>
          <w:szCs w:val="24"/>
        </w:rPr>
      </w:pPr>
      <w:r w:rsidRPr="00B462F4">
        <w:rPr>
          <w:rFonts w:cs="Arial"/>
          <w:bCs/>
          <w:szCs w:val="24"/>
        </w:rPr>
        <w:t xml:space="preserve">Such an arrangement would aim to mitigate the risks to the Council whilst supporting its wider regeneration aspirations. </w:t>
      </w:r>
    </w:p>
    <w:p w14:paraId="7C079627" w14:textId="77777777" w:rsidR="00B462F4" w:rsidRPr="00B462F4" w:rsidRDefault="00B462F4" w:rsidP="00B462F4">
      <w:pPr>
        <w:ind w:left="720"/>
        <w:jc w:val="both"/>
        <w:rPr>
          <w:rFonts w:cs="Arial"/>
          <w:bCs/>
          <w:szCs w:val="24"/>
        </w:rPr>
      </w:pPr>
    </w:p>
    <w:p w14:paraId="4A185D7D" w14:textId="77777777" w:rsidR="00B462F4" w:rsidRPr="00B462F4" w:rsidRDefault="00B462F4" w:rsidP="00850709">
      <w:pPr>
        <w:numPr>
          <w:ilvl w:val="0"/>
          <w:numId w:val="5"/>
        </w:numPr>
        <w:jc w:val="both"/>
        <w:rPr>
          <w:rFonts w:cs="Arial"/>
          <w:bCs/>
          <w:szCs w:val="24"/>
        </w:rPr>
      </w:pPr>
      <w:r w:rsidRPr="00B462F4">
        <w:rPr>
          <w:rFonts w:cs="Arial"/>
          <w:bCs/>
          <w:szCs w:val="24"/>
        </w:rPr>
        <w:t xml:space="preserve">This option, which is recommended, is to continue with construction within the HRA in accordance with the approved budget. </w:t>
      </w:r>
    </w:p>
    <w:p w14:paraId="23C7600D" w14:textId="77777777" w:rsidR="00B462F4" w:rsidRPr="00B462F4" w:rsidRDefault="00B462F4" w:rsidP="00B462F4">
      <w:pPr>
        <w:ind w:left="720"/>
        <w:rPr>
          <w:rFonts w:cs="Arial"/>
          <w:bCs/>
          <w:szCs w:val="24"/>
        </w:rPr>
      </w:pPr>
    </w:p>
    <w:p w14:paraId="32BC8BD2" w14:textId="77777777" w:rsidR="00B462F4" w:rsidRPr="00B462F4" w:rsidRDefault="00B462F4" w:rsidP="00850709">
      <w:pPr>
        <w:numPr>
          <w:ilvl w:val="0"/>
          <w:numId w:val="5"/>
        </w:numPr>
        <w:jc w:val="both"/>
        <w:rPr>
          <w:rFonts w:cs="Arial"/>
          <w:bCs/>
          <w:szCs w:val="24"/>
        </w:rPr>
      </w:pPr>
      <w:r w:rsidRPr="00B462F4">
        <w:rPr>
          <w:rFonts w:cs="Arial"/>
          <w:bCs/>
          <w:szCs w:val="24"/>
        </w:rPr>
        <w:t xml:space="preserve">The costs associated with alternative delivery options to support extension of the construction programme will be used to refresh the HRA Business Plan and will form part of a separate report to Cabinet. </w:t>
      </w:r>
    </w:p>
    <w:p w14:paraId="064CBA81" w14:textId="77777777" w:rsidR="00B462F4" w:rsidRPr="00B462F4" w:rsidRDefault="00B462F4" w:rsidP="00B462F4">
      <w:pPr>
        <w:ind w:left="284" w:hanging="426"/>
        <w:jc w:val="both"/>
        <w:rPr>
          <w:rFonts w:cs="Arial"/>
          <w:bCs/>
          <w:szCs w:val="24"/>
        </w:rPr>
      </w:pPr>
    </w:p>
    <w:p w14:paraId="489B97B7" w14:textId="77777777" w:rsidR="00B462F4" w:rsidRPr="00B462F4" w:rsidRDefault="00B462F4" w:rsidP="00B462F4">
      <w:pPr>
        <w:ind w:left="284" w:hanging="426"/>
        <w:jc w:val="both"/>
        <w:rPr>
          <w:rFonts w:cs="Arial"/>
          <w:bCs/>
          <w:szCs w:val="24"/>
          <w:u w:val="single"/>
        </w:rPr>
      </w:pPr>
      <w:r w:rsidRPr="00B462F4">
        <w:rPr>
          <w:rFonts w:cs="Arial"/>
          <w:bCs/>
          <w:szCs w:val="24"/>
          <w:u w:val="single"/>
        </w:rPr>
        <w:t>Option 4 : Stopping or significantly curtailing construction</w:t>
      </w:r>
    </w:p>
    <w:p w14:paraId="141831CF" w14:textId="77777777" w:rsidR="00B462F4" w:rsidRPr="00B462F4" w:rsidRDefault="00B462F4" w:rsidP="00B462F4">
      <w:pPr>
        <w:ind w:left="284" w:hanging="426"/>
        <w:jc w:val="both"/>
        <w:rPr>
          <w:rFonts w:cs="Arial"/>
          <w:bCs/>
          <w:szCs w:val="24"/>
          <w:u w:val="single"/>
        </w:rPr>
      </w:pPr>
    </w:p>
    <w:p w14:paraId="7F3B7C01" w14:textId="77777777" w:rsidR="00B462F4" w:rsidRPr="00B462F4" w:rsidRDefault="00B462F4" w:rsidP="00850709">
      <w:pPr>
        <w:numPr>
          <w:ilvl w:val="0"/>
          <w:numId w:val="5"/>
        </w:numPr>
        <w:jc w:val="both"/>
        <w:rPr>
          <w:rFonts w:cs="Arial"/>
          <w:bCs/>
          <w:szCs w:val="24"/>
        </w:rPr>
      </w:pPr>
      <w:r w:rsidRPr="00B462F4">
        <w:rPr>
          <w:rFonts w:cs="Arial"/>
          <w:bCs/>
          <w:szCs w:val="24"/>
        </w:rPr>
        <w:t xml:space="preserve">Should the Council decide to stop or curtail the construction of new homes this would result in abortive expenditure being charged to the revenue account which could impact on its viability as well as compromising broader Council objectives. </w:t>
      </w:r>
    </w:p>
    <w:p w14:paraId="28114034" w14:textId="77777777" w:rsidR="00B462F4" w:rsidRPr="00B462F4" w:rsidRDefault="00B462F4" w:rsidP="00B462F4">
      <w:pPr>
        <w:ind w:left="720"/>
        <w:jc w:val="both"/>
        <w:rPr>
          <w:rFonts w:cs="Arial"/>
          <w:bCs/>
          <w:szCs w:val="24"/>
        </w:rPr>
      </w:pPr>
    </w:p>
    <w:p w14:paraId="38D8DEE3" w14:textId="77777777" w:rsidR="00B462F4" w:rsidRPr="00B462F4" w:rsidRDefault="00B462F4" w:rsidP="00850709">
      <w:pPr>
        <w:numPr>
          <w:ilvl w:val="0"/>
          <w:numId w:val="5"/>
        </w:numPr>
        <w:jc w:val="both"/>
        <w:rPr>
          <w:rFonts w:cs="Arial"/>
          <w:bCs/>
          <w:szCs w:val="24"/>
        </w:rPr>
      </w:pPr>
      <w:r w:rsidRPr="00B462F4">
        <w:rPr>
          <w:rFonts w:cs="Arial"/>
          <w:bCs/>
          <w:szCs w:val="24"/>
        </w:rPr>
        <w:t xml:space="preserve">Grant monies received from GLA, some of which have been used, will also have to be repaid. </w:t>
      </w:r>
    </w:p>
    <w:p w14:paraId="72EB75B1" w14:textId="77777777" w:rsidR="00B462F4" w:rsidRPr="00B462F4" w:rsidRDefault="00B462F4" w:rsidP="00B462F4">
      <w:pPr>
        <w:ind w:left="720"/>
        <w:rPr>
          <w:rFonts w:cs="Arial"/>
          <w:bCs/>
          <w:szCs w:val="24"/>
        </w:rPr>
      </w:pPr>
    </w:p>
    <w:p w14:paraId="4E0EEF3A" w14:textId="77777777" w:rsidR="00B462F4" w:rsidRPr="00B462F4" w:rsidRDefault="00B462F4" w:rsidP="00850709">
      <w:pPr>
        <w:numPr>
          <w:ilvl w:val="0"/>
          <w:numId w:val="5"/>
        </w:numPr>
        <w:jc w:val="both"/>
        <w:rPr>
          <w:rFonts w:cs="Arial"/>
          <w:bCs/>
          <w:szCs w:val="24"/>
        </w:rPr>
      </w:pPr>
      <w:r w:rsidRPr="00B462F4">
        <w:rPr>
          <w:rFonts w:cs="Arial"/>
          <w:bCs/>
          <w:szCs w:val="24"/>
        </w:rPr>
        <w:t>Together, the costs associated with this option are expected to be prohibitive therefore this option is not considered viable</w:t>
      </w:r>
    </w:p>
    <w:p w14:paraId="2DFC5B83" w14:textId="77777777" w:rsidR="00B462F4" w:rsidRPr="00B462F4" w:rsidRDefault="00B462F4" w:rsidP="00B462F4">
      <w:pPr>
        <w:ind w:left="284" w:hanging="426"/>
        <w:jc w:val="both"/>
        <w:rPr>
          <w:rFonts w:cs="Arial"/>
          <w:bCs/>
          <w:szCs w:val="24"/>
        </w:rPr>
      </w:pPr>
    </w:p>
    <w:p w14:paraId="1A62B26E" w14:textId="77777777" w:rsidR="00B462F4" w:rsidRPr="00B462F4" w:rsidRDefault="00B462F4" w:rsidP="00B462F4">
      <w:pPr>
        <w:jc w:val="both"/>
        <w:outlineLvl w:val="1"/>
        <w:rPr>
          <w:rFonts w:cs="Arial"/>
          <w:b/>
          <w:bCs/>
          <w:sz w:val="28"/>
          <w:szCs w:val="32"/>
        </w:rPr>
      </w:pPr>
      <w:r w:rsidRPr="00B462F4">
        <w:rPr>
          <w:rFonts w:cs="Arial"/>
          <w:b/>
          <w:bCs/>
          <w:sz w:val="28"/>
          <w:szCs w:val="32"/>
        </w:rPr>
        <w:t>Significant assumptions</w:t>
      </w:r>
    </w:p>
    <w:p w14:paraId="5763F83B" w14:textId="77777777" w:rsidR="00B462F4" w:rsidRPr="00B462F4" w:rsidRDefault="00B462F4" w:rsidP="00B462F4">
      <w:pPr>
        <w:jc w:val="both"/>
        <w:rPr>
          <w:rFonts w:cs="Arial"/>
          <w:bCs/>
          <w:szCs w:val="24"/>
        </w:rPr>
      </w:pPr>
    </w:p>
    <w:p w14:paraId="3136DA35"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Planned investment programme has been refreshed using latest stock condition data and reflects prioritisation of statutory and compliance works required by current health &amp; safety standards. Costs associated with achieving carbon neutrality and the Government’s Green Energy targets, which have not yet been fully quantified, are expected to be significant. These costs will need to be significantly offset by grant support which the Council will be applying for as and when Government makes the funding available and included in a future update.</w:t>
      </w:r>
    </w:p>
    <w:p w14:paraId="205DF6E0" w14:textId="77777777" w:rsidR="00B462F4" w:rsidRPr="00B462F4" w:rsidRDefault="00B462F4" w:rsidP="00B462F4">
      <w:pPr>
        <w:tabs>
          <w:tab w:val="left" w:pos="284"/>
        </w:tabs>
        <w:jc w:val="both"/>
        <w:rPr>
          <w:rFonts w:cs="Arial"/>
          <w:bCs/>
          <w:szCs w:val="24"/>
        </w:rPr>
      </w:pPr>
    </w:p>
    <w:p w14:paraId="4FD4BE20" w14:textId="77777777" w:rsidR="00B462F4" w:rsidRPr="00B462F4" w:rsidRDefault="00B462F4" w:rsidP="00B462F4">
      <w:pPr>
        <w:ind w:left="720"/>
        <w:jc w:val="both"/>
        <w:rPr>
          <w:rFonts w:cs="Arial"/>
          <w:bCs/>
          <w:szCs w:val="24"/>
        </w:rPr>
      </w:pPr>
    </w:p>
    <w:p w14:paraId="2F8EA7CB" w14:textId="1A08BA30"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lastRenderedPageBreak/>
        <w:t>Service reviews identified £1.9m costs on the revenue account which could be eliminated by 31</w:t>
      </w:r>
      <w:r w:rsidRPr="00B462F4">
        <w:rPr>
          <w:rFonts w:cs="Arial"/>
          <w:bCs/>
          <w:szCs w:val="24"/>
          <w:vertAlign w:val="superscript"/>
        </w:rPr>
        <w:t>st</w:t>
      </w:r>
      <w:r w:rsidRPr="00B462F4">
        <w:rPr>
          <w:rFonts w:cs="Arial"/>
          <w:bCs/>
          <w:szCs w:val="24"/>
        </w:rPr>
        <w:t>March 2021 without compromising key service objectives therefore these have been included in the budget for 2020-21. Latest monitoring indicates £1.3m have been achieved up to 31</w:t>
      </w:r>
      <w:r w:rsidRPr="00B462F4">
        <w:rPr>
          <w:rFonts w:cs="Arial"/>
          <w:bCs/>
          <w:szCs w:val="24"/>
          <w:vertAlign w:val="superscript"/>
        </w:rPr>
        <w:t>st</w:t>
      </w:r>
      <w:r w:rsidRPr="00B462F4">
        <w:rPr>
          <w:rFonts w:cs="Arial"/>
          <w:bCs/>
          <w:szCs w:val="24"/>
        </w:rPr>
        <w:t xml:space="preserve"> March 2020 with the last £600k expected to be achieved by 31</w:t>
      </w:r>
      <w:r w:rsidRPr="00B462F4">
        <w:rPr>
          <w:rFonts w:cs="Arial"/>
          <w:bCs/>
          <w:szCs w:val="24"/>
          <w:vertAlign w:val="superscript"/>
        </w:rPr>
        <w:t>st</w:t>
      </w:r>
      <w:r w:rsidRPr="00B462F4">
        <w:rPr>
          <w:rFonts w:cs="Arial"/>
          <w:bCs/>
          <w:szCs w:val="24"/>
        </w:rPr>
        <w:t xml:space="preserve"> March 2021. Although the review has indicated the cost reductions have not been made in the areas originally envisaged, compensating reductions in other areas have been identified. Progress on the remaining cost reductions will be monitored to ensure these can be achieved without compromising service priorities and the position will be kept under review and form part of an update to Cabinet later in the year.</w:t>
      </w:r>
    </w:p>
    <w:p w14:paraId="0EC7EC3E" w14:textId="77777777" w:rsidR="00B462F4" w:rsidRPr="00B462F4" w:rsidRDefault="00B462F4" w:rsidP="00B462F4">
      <w:pPr>
        <w:ind w:left="284" w:hanging="426"/>
        <w:jc w:val="both"/>
        <w:rPr>
          <w:rFonts w:cs="Arial"/>
          <w:bCs/>
          <w:color w:val="0070C0"/>
          <w:szCs w:val="24"/>
        </w:rPr>
      </w:pPr>
    </w:p>
    <w:p w14:paraId="26BEC3AB"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A review of tenant service charges is in progress which will ensure tenants are charged appropriately for services received and all relevant costs recovered</w:t>
      </w:r>
    </w:p>
    <w:p w14:paraId="7F6532FC" w14:textId="77777777" w:rsidR="00B462F4" w:rsidRPr="00B462F4" w:rsidRDefault="00B462F4" w:rsidP="00B462F4">
      <w:pPr>
        <w:ind w:left="720"/>
        <w:jc w:val="both"/>
        <w:rPr>
          <w:rFonts w:cs="Arial"/>
          <w:bCs/>
          <w:szCs w:val="24"/>
        </w:rPr>
      </w:pPr>
    </w:p>
    <w:p w14:paraId="6861F2C4"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Other significant assumptions, detailed in Appendix 1, underlying this update are given below:</w:t>
      </w:r>
    </w:p>
    <w:p w14:paraId="10AB47E9" w14:textId="77777777" w:rsidR="00B462F4" w:rsidRPr="00B462F4" w:rsidRDefault="00B462F4" w:rsidP="00B462F4">
      <w:pPr>
        <w:tabs>
          <w:tab w:val="left" w:pos="142"/>
        </w:tabs>
        <w:jc w:val="both"/>
        <w:rPr>
          <w:rFonts w:cs="Arial"/>
          <w:bCs/>
          <w:color w:val="0070C0"/>
          <w:szCs w:val="24"/>
        </w:rPr>
      </w:pPr>
    </w:p>
    <w:p w14:paraId="15F26F0B"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Rental income</w:t>
      </w:r>
      <w:r w:rsidRPr="00B462F4">
        <w:rPr>
          <w:rFonts w:cs="Arial"/>
          <w:bCs/>
          <w:szCs w:val="24"/>
        </w:rPr>
        <w:t xml:space="preserve"> – CPI + 1% for financial years 2020-21 to 2024-25 inclusive reverting to CPI only from April 2025 which is considered a more prudent assumption given developments in the macro-economic environment. Rents for the </w:t>
      </w:r>
      <w:proofErr w:type="spellStart"/>
      <w:r w:rsidRPr="00B462F4">
        <w:rPr>
          <w:rFonts w:cs="Arial"/>
          <w:bCs/>
          <w:szCs w:val="24"/>
        </w:rPr>
        <w:t>BCHfL</w:t>
      </w:r>
      <w:proofErr w:type="spellEnd"/>
      <w:r w:rsidRPr="00B462F4">
        <w:rPr>
          <w:rFonts w:cs="Arial"/>
          <w:bCs/>
          <w:szCs w:val="24"/>
        </w:rPr>
        <w:t xml:space="preserve"> programme will be at London Affordable Rent where they are part funded by GLA grant although rents for existing tenants remaining at Grange Farm will be at the Council’s social rents (in accordance with our tenants charter commitment). Re-lets for all other units to be at target rent in line with approved budget.</w:t>
      </w:r>
    </w:p>
    <w:p w14:paraId="109AB1B8" w14:textId="77777777" w:rsidR="00B462F4" w:rsidRPr="00B462F4" w:rsidRDefault="00B462F4" w:rsidP="00B462F4">
      <w:pPr>
        <w:tabs>
          <w:tab w:val="left" w:pos="142"/>
        </w:tabs>
        <w:ind w:left="426"/>
        <w:jc w:val="both"/>
        <w:rPr>
          <w:rFonts w:cs="Arial"/>
          <w:bCs/>
          <w:szCs w:val="24"/>
        </w:rPr>
      </w:pPr>
    </w:p>
    <w:p w14:paraId="19A0A694"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Right to Buys</w:t>
      </w:r>
      <w:r w:rsidRPr="00B462F4">
        <w:rPr>
          <w:rFonts w:cs="Arial"/>
          <w:bCs/>
          <w:szCs w:val="24"/>
        </w:rPr>
        <w:t xml:space="preserve"> – estimated 24 disposals 2020-21 and 2021-22 dropping to 20 per annum thereafter in line with approved budget with an average discount of £111k. It is assumed retained RTB receipts permitted to finance qualifying schemes will remain at 30% (under current rules), although there is a proposal to increase this to 50% (see below “Consultation papers”). </w:t>
      </w:r>
    </w:p>
    <w:p w14:paraId="43234139" w14:textId="77777777" w:rsidR="00B462F4" w:rsidRPr="00B462F4" w:rsidRDefault="00B462F4" w:rsidP="00B462F4">
      <w:pPr>
        <w:ind w:left="720"/>
        <w:jc w:val="both"/>
        <w:rPr>
          <w:rFonts w:cs="Arial"/>
          <w:bCs/>
          <w:szCs w:val="24"/>
        </w:rPr>
      </w:pPr>
    </w:p>
    <w:p w14:paraId="3A8A1028"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Recycled RTB receipts</w:t>
      </w:r>
      <w:r w:rsidRPr="00B462F4">
        <w:rPr>
          <w:rFonts w:cs="Arial"/>
          <w:bCs/>
          <w:szCs w:val="24"/>
        </w:rPr>
        <w:t xml:space="preserve"> – the Council successfully recycled £3.073m RTB receipts as capital grant through the GLA in 2019-20, £52k of which was utilised in 2019-20 with the remainder earmarked to support the Grange Farm scheme. No further applications to recycle RTB receipts, which would otherwise become repayable to Government under the terms of the Retention Agreement, have been assumed.</w:t>
      </w:r>
    </w:p>
    <w:p w14:paraId="5D9AB050" w14:textId="77777777" w:rsidR="00B462F4" w:rsidRPr="00B462F4" w:rsidRDefault="00B462F4" w:rsidP="00B462F4">
      <w:pPr>
        <w:ind w:left="720"/>
        <w:rPr>
          <w:rFonts w:cs="Arial"/>
          <w:bCs/>
          <w:szCs w:val="24"/>
        </w:rPr>
      </w:pPr>
    </w:p>
    <w:p w14:paraId="126AC87A"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szCs w:val="24"/>
        </w:rPr>
        <w:t>Retained RTB receipts</w:t>
      </w:r>
      <w:r w:rsidRPr="00B462F4">
        <w:rPr>
          <w:rFonts w:cs="Arial"/>
          <w:bCs/>
          <w:szCs w:val="24"/>
        </w:rPr>
        <w:t xml:space="preserve"> – in accordance with the terms of the Right to Buy Retention Agreement, entered into 26</w:t>
      </w:r>
      <w:r w:rsidRPr="00B462F4">
        <w:rPr>
          <w:rFonts w:cs="Arial"/>
          <w:bCs/>
          <w:szCs w:val="24"/>
          <w:vertAlign w:val="superscript"/>
        </w:rPr>
        <w:t>th</w:t>
      </w:r>
      <w:r w:rsidRPr="00B462F4">
        <w:rPr>
          <w:rFonts w:cs="Arial"/>
          <w:bCs/>
          <w:szCs w:val="24"/>
        </w:rPr>
        <w:t xml:space="preserve"> September 2012, these resources will be used to support schemes which are not part funded by GLA grant.</w:t>
      </w:r>
    </w:p>
    <w:p w14:paraId="2599BAE0" w14:textId="77777777" w:rsidR="00B462F4" w:rsidRPr="00B462F4" w:rsidRDefault="00B462F4" w:rsidP="00B462F4">
      <w:pPr>
        <w:ind w:left="720"/>
        <w:jc w:val="both"/>
        <w:rPr>
          <w:rFonts w:cs="Arial"/>
          <w:bCs/>
          <w:color w:val="0070C0"/>
          <w:szCs w:val="24"/>
        </w:rPr>
      </w:pPr>
    </w:p>
    <w:p w14:paraId="15A2F2F4"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Grant</w:t>
      </w:r>
      <w:r w:rsidRPr="00B462F4">
        <w:rPr>
          <w:rFonts w:cs="Arial"/>
          <w:bCs/>
          <w:szCs w:val="24"/>
        </w:rPr>
        <w:t xml:space="preserve"> – Housing Infrastructure Funding grant of £10m assumed for Grange Farm; all infrastructure works assumed completed by 31 March 2021 so the full amount can be utilised. GLA grant of £100k per social unit and £38k per shared ownership unit has also been assumed, payable 50% start on site, 50% on completion. As a result of Covid-19 GLA have extended deadlines for grant claims and these have been reflected in the revised spend and rental income profiles.</w:t>
      </w:r>
    </w:p>
    <w:p w14:paraId="274F2A5F" w14:textId="77777777" w:rsidR="00B462F4" w:rsidRPr="00B462F4" w:rsidRDefault="00B462F4" w:rsidP="00B462F4">
      <w:pPr>
        <w:ind w:left="720"/>
        <w:rPr>
          <w:rFonts w:cs="Arial"/>
          <w:bCs/>
          <w:szCs w:val="24"/>
        </w:rPr>
      </w:pPr>
    </w:p>
    <w:p w14:paraId="23194D0A" w14:textId="77777777" w:rsidR="00B462F4" w:rsidRPr="00B462F4" w:rsidRDefault="00B462F4" w:rsidP="00850709">
      <w:pPr>
        <w:numPr>
          <w:ilvl w:val="0"/>
          <w:numId w:val="6"/>
        </w:numPr>
        <w:tabs>
          <w:tab w:val="left" w:pos="142"/>
        </w:tabs>
        <w:ind w:left="426" w:hanging="284"/>
        <w:jc w:val="both"/>
        <w:rPr>
          <w:rFonts w:cs="Arial"/>
          <w:bCs/>
          <w:szCs w:val="24"/>
        </w:rPr>
      </w:pPr>
      <w:proofErr w:type="spellStart"/>
      <w:r w:rsidRPr="00B462F4">
        <w:rPr>
          <w:rFonts w:cs="Arial"/>
          <w:b/>
          <w:szCs w:val="24"/>
        </w:rPr>
        <w:t>BCHfL</w:t>
      </w:r>
      <w:proofErr w:type="spellEnd"/>
      <w:r w:rsidRPr="00B462F4">
        <w:rPr>
          <w:rFonts w:cs="Arial"/>
          <w:b/>
          <w:szCs w:val="24"/>
        </w:rPr>
        <w:t xml:space="preserve"> build costs</w:t>
      </w:r>
      <w:r w:rsidRPr="00B462F4">
        <w:rPr>
          <w:rFonts w:cs="Arial"/>
          <w:bCs/>
          <w:szCs w:val="24"/>
        </w:rPr>
        <w:t xml:space="preserve"> – recent developments in the economy combined with the increasing possibility of a no deal Brexit suggest build costs may increase. As the majority of schemes are at design stage these developments are likely to have a detrimental impact on the Business Plan. As referenced in the Risk Management section the financial impact of this, together with other developments, will be evaluated and reported to Cabinet later in the year. </w:t>
      </w:r>
    </w:p>
    <w:p w14:paraId="1CAD39E6" w14:textId="77777777" w:rsidR="00B462F4" w:rsidRPr="00B462F4" w:rsidRDefault="00B462F4" w:rsidP="00B462F4">
      <w:pPr>
        <w:ind w:left="720"/>
        <w:jc w:val="both"/>
        <w:rPr>
          <w:rFonts w:cs="Arial"/>
          <w:bCs/>
          <w:szCs w:val="24"/>
        </w:rPr>
      </w:pPr>
    </w:p>
    <w:p w14:paraId="3C92E80C"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lastRenderedPageBreak/>
        <w:t>Bad debt provision</w:t>
      </w:r>
      <w:r w:rsidRPr="00B462F4">
        <w:rPr>
          <w:rFonts w:cs="Arial"/>
          <w:bCs/>
          <w:szCs w:val="24"/>
        </w:rPr>
        <w:t xml:space="preserve"> – assumed £150k as set out in Appendix 1, although this will be kept under review as full impact of Covid-19 and the Government’s </w:t>
      </w:r>
      <w:r w:rsidRPr="00B462F4">
        <w:rPr>
          <w:szCs w:val="24"/>
        </w:rPr>
        <w:t xml:space="preserve">Welfare Reform &amp; Work Act 2016, </w:t>
      </w:r>
      <w:r w:rsidRPr="00B462F4">
        <w:rPr>
          <w:rFonts w:cs="Arial"/>
          <w:bCs/>
          <w:szCs w:val="24"/>
        </w:rPr>
        <w:t>become clearer.</w:t>
      </w:r>
    </w:p>
    <w:p w14:paraId="6ADCF6BD" w14:textId="77777777" w:rsidR="00B462F4" w:rsidRPr="00B462F4" w:rsidRDefault="00B462F4" w:rsidP="00B462F4">
      <w:pPr>
        <w:ind w:left="720"/>
        <w:jc w:val="both"/>
        <w:rPr>
          <w:rFonts w:cs="Arial"/>
          <w:bCs/>
          <w:szCs w:val="24"/>
        </w:rPr>
      </w:pPr>
    </w:p>
    <w:p w14:paraId="39F29D75"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Ongoing management cost assumptions</w:t>
      </w:r>
      <w:r w:rsidRPr="00B462F4">
        <w:rPr>
          <w:rFonts w:cs="Arial"/>
          <w:bCs/>
          <w:szCs w:val="24"/>
        </w:rPr>
        <w:t xml:space="preserve"> – management costs, which reflect the impact of the Housing Senior Management restructure required as part of the £1.9m cost reductions, are assumed to be at the level included in approved budget 2020-21 and to continue at that level, adjusted for inflation as appropriate. Costs will be reviewed to ensure they are commensurate with stock numbers as part of ongoing benchmarking with other Authorities.</w:t>
      </w:r>
    </w:p>
    <w:p w14:paraId="2B8F6174" w14:textId="77777777" w:rsidR="00B462F4" w:rsidRPr="00B462F4" w:rsidRDefault="00B462F4" w:rsidP="00B462F4">
      <w:pPr>
        <w:tabs>
          <w:tab w:val="left" w:pos="142"/>
        </w:tabs>
        <w:ind w:left="720"/>
        <w:jc w:val="both"/>
        <w:rPr>
          <w:rFonts w:cs="Arial"/>
          <w:bCs/>
          <w:szCs w:val="24"/>
        </w:rPr>
      </w:pPr>
    </w:p>
    <w:p w14:paraId="369A71B6"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Ongoing revenue maintenance assumptions</w:t>
      </w:r>
      <w:r w:rsidRPr="00B462F4">
        <w:rPr>
          <w:rFonts w:cs="Arial"/>
          <w:bCs/>
          <w:szCs w:val="24"/>
        </w:rPr>
        <w:t xml:space="preserve"> – revenue maintenance costs are assumed to be at the level included in approved budget 2020-21, as adjusted for inflation as appropriate assuming CPI is 2% in line with the Government’s long term target (see appendix 1). Costs will be reviewed to ensure they are commensurate with stock numbers. </w:t>
      </w:r>
    </w:p>
    <w:p w14:paraId="5E093366" w14:textId="77777777" w:rsidR="00B462F4" w:rsidRPr="00B462F4" w:rsidRDefault="00B462F4" w:rsidP="00B462F4">
      <w:pPr>
        <w:ind w:left="720"/>
        <w:jc w:val="both"/>
        <w:rPr>
          <w:rFonts w:cs="Arial"/>
          <w:bCs/>
          <w:color w:val="0070C0"/>
          <w:szCs w:val="24"/>
        </w:rPr>
      </w:pPr>
    </w:p>
    <w:p w14:paraId="2205B98E"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General Reserves</w:t>
      </w:r>
      <w:r w:rsidRPr="00B462F4">
        <w:rPr>
          <w:rFonts w:cs="Arial"/>
          <w:bCs/>
          <w:szCs w:val="24"/>
        </w:rPr>
        <w:t xml:space="preserve"> – minimum balances of £2.3m as at 31</w:t>
      </w:r>
      <w:r w:rsidRPr="00B462F4">
        <w:rPr>
          <w:rFonts w:cs="Arial"/>
          <w:bCs/>
          <w:szCs w:val="24"/>
          <w:vertAlign w:val="superscript"/>
        </w:rPr>
        <w:t>st</w:t>
      </w:r>
      <w:r w:rsidRPr="00B462F4">
        <w:rPr>
          <w:rFonts w:cs="Arial"/>
          <w:bCs/>
          <w:szCs w:val="24"/>
        </w:rPr>
        <w:t xml:space="preserve"> March 2021 and an average of £2.7m over ten years are required based on a prudent estimate of 7% of gross income. The Business Plan projects £7.1m general revenue reserves as at 31</w:t>
      </w:r>
      <w:r w:rsidRPr="00B462F4">
        <w:rPr>
          <w:rFonts w:cs="Arial"/>
          <w:bCs/>
          <w:szCs w:val="24"/>
          <w:vertAlign w:val="superscript"/>
        </w:rPr>
        <w:t>st</w:t>
      </w:r>
      <w:r w:rsidRPr="00B462F4">
        <w:rPr>
          <w:rFonts w:cs="Arial"/>
          <w:bCs/>
          <w:szCs w:val="24"/>
        </w:rPr>
        <w:t xml:space="preserve"> March 2021 with an average of £11.7m over ten years. </w:t>
      </w:r>
    </w:p>
    <w:p w14:paraId="50AC4CD5" w14:textId="77777777" w:rsidR="00B462F4" w:rsidRPr="00B462F4" w:rsidRDefault="00B462F4" w:rsidP="00B462F4">
      <w:pPr>
        <w:tabs>
          <w:tab w:val="left" w:pos="142"/>
        </w:tabs>
        <w:ind w:left="426"/>
        <w:jc w:val="both"/>
        <w:rPr>
          <w:rFonts w:cs="Arial"/>
          <w:bCs/>
          <w:color w:val="0070C0"/>
          <w:szCs w:val="24"/>
        </w:rPr>
      </w:pPr>
    </w:p>
    <w:p w14:paraId="7D0C75D2"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 xml:space="preserve">Earmarked reserves </w:t>
      </w:r>
      <w:r w:rsidRPr="00B462F4">
        <w:rPr>
          <w:rFonts w:cs="Arial"/>
          <w:bCs/>
          <w:szCs w:val="24"/>
        </w:rPr>
        <w:t>– the Council’s HRA has four earmarked (or specific) reserves set up as at 31</w:t>
      </w:r>
      <w:r w:rsidRPr="00B462F4">
        <w:rPr>
          <w:rFonts w:cs="Arial"/>
          <w:bCs/>
          <w:szCs w:val="24"/>
          <w:vertAlign w:val="superscript"/>
        </w:rPr>
        <w:t>st</w:t>
      </w:r>
      <w:r w:rsidRPr="00B462F4">
        <w:rPr>
          <w:rFonts w:cs="Arial"/>
          <w:bCs/>
          <w:szCs w:val="24"/>
        </w:rPr>
        <w:t xml:space="preserve"> March 2020 for prescribed purposes :</w:t>
      </w:r>
    </w:p>
    <w:p w14:paraId="6210EF73" w14:textId="77777777" w:rsidR="00B462F4" w:rsidRPr="00B462F4" w:rsidRDefault="00B462F4" w:rsidP="00B462F4">
      <w:pPr>
        <w:tabs>
          <w:tab w:val="left" w:pos="142"/>
        </w:tabs>
        <w:ind w:left="426"/>
        <w:jc w:val="both"/>
        <w:rPr>
          <w:rFonts w:cs="Arial"/>
          <w:bCs/>
          <w:szCs w:val="24"/>
        </w:rPr>
      </w:pPr>
    </w:p>
    <w:p w14:paraId="3EBEF9DA" w14:textId="77777777" w:rsidR="00B462F4" w:rsidRPr="00B462F4" w:rsidRDefault="00B462F4" w:rsidP="00850709">
      <w:pPr>
        <w:numPr>
          <w:ilvl w:val="0"/>
          <w:numId w:val="5"/>
        </w:numPr>
        <w:autoSpaceDE w:val="0"/>
        <w:autoSpaceDN w:val="0"/>
        <w:adjustRightInd w:val="0"/>
        <w:ind w:left="567" w:hanging="283"/>
        <w:jc w:val="both"/>
        <w:rPr>
          <w:rFonts w:cs="Arial"/>
          <w:bCs/>
          <w:szCs w:val="24"/>
        </w:rPr>
      </w:pPr>
      <w:r w:rsidRPr="00B462F4">
        <w:rPr>
          <w:rFonts w:cs="Arial"/>
          <w:bCs/>
          <w:szCs w:val="24"/>
        </w:rPr>
        <w:t>Transformation fund £422k – to support investment in replacement Housing IT system</w:t>
      </w:r>
    </w:p>
    <w:p w14:paraId="3F83E953" w14:textId="77777777" w:rsidR="00B462F4" w:rsidRPr="00B462F4" w:rsidRDefault="00B462F4" w:rsidP="00B462F4">
      <w:pPr>
        <w:autoSpaceDE w:val="0"/>
        <w:autoSpaceDN w:val="0"/>
        <w:adjustRightInd w:val="0"/>
        <w:ind w:left="567"/>
        <w:jc w:val="both"/>
        <w:rPr>
          <w:rFonts w:cs="Arial"/>
          <w:bCs/>
          <w:szCs w:val="24"/>
        </w:rPr>
      </w:pPr>
    </w:p>
    <w:p w14:paraId="429AF9C8" w14:textId="77777777" w:rsidR="00B462F4" w:rsidRPr="00B462F4" w:rsidRDefault="00B462F4" w:rsidP="00850709">
      <w:pPr>
        <w:numPr>
          <w:ilvl w:val="0"/>
          <w:numId w:val="5"/>
        </w:numPr>
        <w:autoSpaceDE w:val="0"/>
        <w:autoSpaceDN w:val="0"/>
        <w:adjustRightInd w:val="0"/>
        <w:ind w:left="567" w:hanging="283"/>
        <w:jc w:val="both"/>
        <w:rPr>
          <w:rFonts w:cs="Arial"/>
          <w:bCs/>
          <w:szCs w:val="24"/>
        </w:rPr>
      </w:pPr>
      <w:r w:rsidRPr="00B462F4">
        <w:rPr>
          <w:rFonts w:cs="Arial"/>
          <w:bCs/>
          <w:szCs w:val="24"/>
        </w:rPr>
        <w:t>Hardship fund £25k – to support the most vulnerable and disadvantaged Council tenants affected by the Governments programme of Welfare Reforms which can significantly reduce benefit entitlement and the ways these are paid</w:t>
      </w:r>
    </w:p>
    <w:p w14:paraId="4E6D4552" w14:textId="77777777" w:rsidR="00B462F4" w:rsidRPr="00B462F4" w:rsidRDefault="00B462F4" w:rsidP="00B462F4">
      <w:pPr>
        <w:ind w:left="720"/>
        <w:jc w:val="both"/>
        <w:rPr>
          <w:rFonts w:cs="Arial"/>
          <w:bCs/>
          <w:szCs w:val="24"/>
        </w:rPr>
      </w:pPr>
    </w:p>
    <w:p w14:paraId="5109488F" w14:textId="77777777" w:rsidR="00B462F4" w:rsidRPr="00B462F4" w:rsidRDefault="00B462F4" w:rsidP="00850709">
      <w:pPr>
        <w:numPr>
          <w:ilvl w:val="0"/>
          <w:numId w:val="5"/>
        </w:numPr>
        <w:autoSpaceDE w:val="0"/>
        <w:autoSpaceDN w:val="0"/>
        <w:adjustRightInd w:val="0"/>
        <w:ind w:left="567" w:hanging="283"/>
        <w:jc w:val="both"/>
        <w:rPr>
          <w:rFonts w:cs="Arial"/>
          <w:bCs/>
          <w:szCs w:val="24"/>
        </w:rPr>
      </w:pPr>
      <w:r w:rsidRPr="00B462F4">
        <w:rPr>
          <w:rFonts w:cs="Arial"/>
          <w:bCs/>
          <w:szCs w:val="24"/>
        </w:rPr>
        <w:t>Regeneration reserve £173k – it is prudent to set aside reserves for unforeseen expenditure for which no budget provision was made.</w:t>
      </w:r>
    </w:p>
    <w:p w14:paraId="6C3173C2" w14:textId="77777777" w:rsidR="00B462F4" w:rsidRPr="00B462F4" w:rsidRDefault="00B462F4" w:rsidP="00B462F4">
      <w:pPr>
        <w:autoSpaceDE w:val="0"/>
        <w:autoSpaceDN w:val="0"/>
        <w:adjustRightInd w:val="0"/>
        <w:ind w:left="567"/>
        <w:jc w:val="both"/>
        <w:rPr>
          <w:rFonts w:cs="Arial"/>
          <w:bCs/>
          <w:szCs w:val="24"/>
        </w:rPr>
      </w:pPr>
    </w:p>
    <w:p w14:paraId="4032C333" w14:textId="77777777" w:rsidR="00B462F4" w:rsidRPr="00B462F4" w:rsidRDefault="00B462F4" w:rsidP="00850709">
      <w:pPr>
        <w:numPr>
          <w:ilvl w:val="0"/>
          <w:numId w:val="5"/>
        </w:numPr>
        <w:autoSpaceDE w:val="0"/>
        <w:autoSpaceDN w:val="0"/>
        <w:adjustRightInd w:val="0"/>
        <w:ind w:left="567" w:hanging="283"/>
        <w:jc w:val="both"/>
        <w:rPr>
          <w:rFonts w:cs="Arial"/>
          <w:bCs/>
          <w:szCs w:val="24"/>
        </w:rPr>
      </w:pPr>
      <w:r w:rsidRPr="00B462F4">
        <w:rPr>
          <w:rFonts w:cs="Arial"/>
          <w:bCs/>
          <w:szCs w:val="24"/>
        </w:rPr>
        <w:t>Repairs reserve £164k – to support voids, cyclical and response repairs</w:t>
      </w:r>
    </w:p>
    <w:p w14:paraId="767760C1" w14:textId="77777777" w:rsidR="00B462F4" w:rsidRPr="00B462F4" w:rsidRDefault="00B462F4" w:rsidP="00B462F4">
      <w:pPr>
        <w:autoSpaceDE w:val="0"/>
        <w:autoSpaceDN w:val="0"/>
        <w:adjustRightInd w:val="0"/>
        <w:jc w:val="both"/>
        <w:rPr>
          <w:rFonts w:cs="Arial"/>
          <w:bCs/>
          <w:szCs w:val="24"/>
        </w:rPr>
      </w:pPr>
    </w:p>
    <w:p w14:paraId="5CC7B529" w14:textId="77777777" w:rsidR="00B462F4" w:rsidRPr="00B462F4" w:rsidRDefault="00B462F4" w:rsidP="00B462F4">
      <w:pPr>
        <w:autoSpaceDE w:val="0"/>
        <w:autoSpaceDN w:val="0"/>
        <w:adjustRightInd w:val="0"/>
        <w:ind w:left="567"/>
        <w:jc w:val="both"/>
        <w:rPr>
          <w:rFonts w:cs="Arial"/>
          <w:bCs/>
          <w:szCs w:val="24"/>
        </w:rPr>
      </w:pPr>
    </w:p>
    <w:p w14:paraId="747DD935" w14:textId="77777777" w:rsidR="00B462F4" w:rsidRPr="00B462F4" w:rsidRDefault="00B462F4" w:rsidP="00B462F4">
      <w:pPr>
        <w:autoSpaceDE w:val="0"/>
        <w:autoSpaceDN w:val="0"/>
        <w:adjustRightInd w:val="0"/>
        <w:ind w:left="142"/>
        <w:jc w:val="both"/>
        <w:rPr>
          <w:rFonts w:cs="Arial"/>
          <w:bCs/>
          <w:szCs w:val="24"/>
        </w:rPr>
      </w:pPr>
      <w:r w:rsidRPr="00B462F4">
        <w:rPr>
          <w:rFonts w:cs="Arial"/>
          <w:bCs/>
          <w:szCs w:val="24"/>
        </w:rPr>
        <w:t>The Business Plan has assumed set aside for the above items although these will be kept under review.</w:t>
      </w:r>
    </w:p>
    <w:p w14:paraId="1B02B500" w14:textId="77777777" w:rsidR="00B462F4" w:rsidRPr="00B462F4" w:rsidRDefault="00B462F4" w:rsidP="00B462F4">
      <w:pPr>
        <w:ind w:left="720"/>
        <w:jc w:val="both"/>
        <w:rPr>
          <w:rFonts w:cs="Arial"/>
          <w:bCs/>
          <w:color w:val="0070C0"/>
          <w:szCs w:val="24"/>
        </w:rPr>
      </w:pPr>
    </w:p>
    <w:p w14:paraId="51E68675" w14:textId="77777777" w:rsidR="00B462F4" w:rsidRPr="00B462F4" w:rsidRDefault="00B462F4" w:rsidP="00850709">
      <w:pPr>
        <w:numPr>
          <w:ilvl w:val="0"/>
          <w:numId w:val="6"/>
        </w:numPr>
        <w:tabs>
          <w:tab w:val="left" w:pos="142"/>
        </w:tabs>
        <w:ind w:left="426" w:hanging="284"/>
        <w:jc w:val="both"/>
        <w:rPr>
          <w:rFonts w:cs="Arial"/>
          <w:bCs/>
          <w:szCs w:val="24"/>
        </w:rPr>
      </w:pPr>
      <w:r w:rsidRPr="00B462F4">
        <w:rPr>
          <w:rFonts w:cs="Arial"/>
          <w:b/>
          <w:bCs/>
          <w:szCs w:val="24"/>
        </w:rPr>
        <w:t>Borrowing</w:t>
      </w:r>
      <w:r w:rsidRPr="00B462F4">
        <w:rPr>
          <w:rFonts w:cs="Arial"/>
          <w:bCs/>
          <w:szCs w:val="24"/>
        </w:rPr>
        <w:t xml:space="preserve"> – this is divided into historic and new borrowing :</w:t>
      </w:r>
    </w:p>
    <w:p w14:paraId="13C11EF5" w14:textId="77777777" w:rsidR="00B462F4" w:rsidRPr="00B462F4" w:rsidRDefault="00B462F4" w:rsidP="00B462F4">
      <w:pPr>
        <w:tabs>
          <w:tab w:val="left" w:pos="142"/>
        </w:tabs>
        <w:ind w:left="426"/>
        <w:jc w:val="both"/>
        <w:rPr>
          <w:rFonts w:cs="Arial"/>
          <w:bCs/>
          <w:szCs w:val="24"/>
        </w:rPr>
      </w:pPr>
    </w:p>
    <w:p w14:paraId="72CD586B" w14:textId="77777777" w:rsidR="00B462F4" w:rsidRPr="00B462F4" w:rsidRDefault="00B462F4" w:rsidP="00850709">
      <w:pPr>
        <w:numPr>
          <w:ilvl w:val="0"/>
          <w:numId w:val="8"/>
        </w:numPr>
        <w:tabs>
          <w:tab w:val="left" w:pos="142"/>
        </w:tabs>
        <w:ind w:left="567" w:hanging="218"/>
        <w:jc w:val="both"/>
        <w:rPr>
          <w:rFonts w:cs="Arial"/>
          <w:bCs/>
          <w:szCs w:val="24"/>
        </w:rPr>
      </w:pPr>
      <w:r w:rsidRPr="00B462F4">
        <w:rPr>
          <w:rFonts w:cs="Arial"/>
          <w:bCs/>
          <w:szCs w:val="24"/>
        </w:rPr>
        <w:t>historic debt – this includes debt that self-financing Authorities were required to take on in order to leave the subsidy system and resulted in the Council reaching the Government imposed cap of £150.683m on 31</w:t>
      </w:r>
      <w:r w:rsidRPr="00B462F4">
        <w:rPr>
          <w:rFonts w:cs="Arial"/>
          <w:bCs/>
          <w:szCs w:val="24"/>
          <w:vertAlign w:val="superscript"/>
        </w:rPr>
        <w:t>st</w:t>
      </w:r>
      <w:r w:rsidRPr="00B462F4">
        <w:rPr>
          <w:rFonts w:cs="Arial"/>
          <w:bCs/>
          <w:szCs w:val="24"/>
        </w:rPr>
        <w:t xml:space="preserve"> March 2019; reduced by debt repayment  to £149.924m as at 31</w:t>
      </w:r>
      <w:r w:rsidRPr="00B462F4">
        <w:rPr>
          <w:rFonts w:cs="Arial"/>
          <w:bCs/>
          <w:szCs w:val="24"/>
          <w:vertAlign w:val="superscript"/>
        </w:rPr>
        <w:t>st</w:t>
      </w:r>
      <w:r w:rsidRPr="00B462F4">
        <w:rPr>
          <w:rFonts w:cs="Arial"/>
          <w:bCs/>
          <w:szCs w:val="24"/>
        </w:rPr>
        <w:t xml:space="preserve"> March 2020 commensurate with the number of RTB disposals thereby reducing interest exposure and providing capacity for future  investment in existing stock. Interest on this historic debt, shared in a single loans pool with General Fund, averages at 4.05%.</w:t>
      </w:r>
    </w:p>
    <w:p w14:paraId="4AC602A6" w14:textId="77777777" w:rsidR="00B462F4" w:rsidRPr="00B462F4" w:rsidRDefault="00B462F4" w:rsidP="00B462F4">
      <w:pPr>
        <w:tabs>
          <w:tab w:val="left" w:pos="142"/>
        </w:tabs>
        <w:jc w:val="both"/>
        <w:rPr>
          <w:rFonts w:cs="Arial"/>
          <w:bCs/>
          <w:szCs w:val="24"/>
        </w:rPr>
      </w:pPr>
    </w:p>
    <w:p w14:paraId="296064DC" w14:textId="77777777" w:rsidR="00B462F4" w:rsidRPr="00B462F4" w:rsidRDefault="00B462F4" w:rsidP="00850709">
      <w:pPr>
        <w:numPr>
          <w:ilvl w:val="0"/>
          <w:numId w:val="8"/>
        </w:numPr>
        <w:tabs>
          <w:tab w:val="left" w:pos="142"/>
        </w:tabs>
        <w:ind w:left="567" w:hanging="283"/>
        <w:jc w:val="both"/>
        <w:rPr>
          <w:rFonts w:cs="Arial"/>
          <w:bCs/>
          <w:szCs w:val="24"/>
        </w:rPr>
      </w:pPr>
      <w:r w:rsidRPr="00B462F4">
        <w:rPr>
          <w:rFonts w:cs="Arial"/>
          <w:bCs/>
          <w:szCs w:val="24"/>
        </w:rPr>
        <w:t>new borrowing – for new build programme only, estimated at £73.1m in line with approved budget and expected to be at lower interest rate of 3%, not shared with General Fund. Current estimates indicate this would be taken out over a total of six years although this will be reviewed as the construction programme progresses.</w:t>
      </w:r>
    </w:p>
    <w:p w14:paraId="720A1B7E" w14:textId="77777777" w:rsidR="00B462F4" w:rsidRPr="00B462F4" w:rsidRDefault="00B462F4" w:rsidP="00B462F4">
      <w:pPr>
        <w:tabs>
          <w:tab w:val="left" w:pos="142"/>
        </w:tabs>
        <w:jc w:val="both"/>
        <w:rPr>
          <w:rFonts w:cs="Arial"/>
          <w:bCs/>
          <w:szCs w:val="24"/>
        </w:rPr>
      </w:pPr>
    </w:p>
    <w:p w14:paraId="08CDAD3C" w14:textId="77777777" w:rsidR="00B462F4" w:rsidRPr="00B462F4" w:rsidRDefault="00B462F4" w:rsidP="00B462F4">
      <w:pPr>
        <w:tabs>
          <w:tab w:val="left" w:pos="142"/>
        </w:tabs>
        <w:ind w:left="142"/>
        <w:jc w:val="both"/>
        <w:rPr>
          <w:rFonts w:cs="Arial"/>
          <w:bCs/>
          <w:szCs w:val="24"/>
        </w:rPr>
      </w:pPr>
      <w:r w:rsidRPr="00B462F4">
        <w:rPr>
          <w:rFonts w:cs="Arial"/>
          <w:bCs/>
          <w:szCs w:val="24"/>
        </w:rPr>
        <w:t xml:space="preserve">Neither debt attracts Minimum Revenue Provision (MRP) which is a set aside designed to ensure the principal debt is repaid at the end of the term as this is not currently required for the HRA. </w:t>
      </w:r>
      <w:r w:rsidRPr="00B462F4">
        <w:rPr>
          <w:rFonts w:cs="Arial"/>
          <w:bCs/>
          <w:szCs w:val="24"/>
        </w:rPr>
        <w:lastRenderedPageBreak/>
        <w:t>Interest rates are stated after taking into account the impact of the 1% increase on Public Works Loans Board (PWLB) borrowing.</w:t>
      </w:r>
    </w:p>
    <w:p w14:paraId="557B7F08" w14:textId="77777777" w:rsidR="00B462F4" w:rsidRPr="00B462F4" w:rsidRDefault="00B462F4" w:rsidP="00B462F4">
      <w:pPr>
        <w:tabs>
          <w:tab w:val="left" w:pos="142"/>
        </w:tabs>
        <w:ind w:left="142"/>
        <w:jc w:val="both"/>
        <w:rPr>
          <w:rFonts w:cs="Arial"/>
          <w:bCs/>
          <w:szCs w:val="24"/>
        </w:rPr>
      </w:pPr>
    </w:p>
    <w:p w14:paraId="7DC5447F" w14:textId="77777777" w:rsidR="00B462F4" w:rsidRPr="00B462F4" w:rsidRDefault="00B462F4" w:rsidP="00B462F4">
      <w:pPr>
        <w:tabs>
          <w:tab w:val="left" w:pos="142"/>
        </w:tabs>
        <w:ind w:left="142"/>
        <w:jc w:val="both"/>
        <w:rPr>
          <w:rFonts w:cs="Arial"/>
          <w:bCs/>
          <w:szCs w:val="24"/>
        </w:rPr>
      </w:pPr>
      <w:r w:rsidRPr="00B462F4">
        <w:rPr>
          <w:rFonts w:cs="Arial"/>
          <w:bCs/>
          <w:szCs w:val="24"/>
        </w:rPr>
        <w:t>Although debt repayments have commenced in line with RTB disposals, current estimates suggest further repayments will be possible. As the majority of HRA debt is in the shared pool, additional repayments will affect General Fund therefore a co-ordinated approach is required to ensure maximum advantage to the Council and will form part of the Treasury Management update to Cabinet later in the year.</w:t>
      </w:r>
    </w:p>
    <w:p w14:paraId="13E1C03D" w14:textId="77777777" w:rsidR="00B462F4" w:rsidRPr="00B462F4" w:rsidRDefault="00B462F4" w:rsidP="00B462F4">
      <w:pPr>
        <w:ind w:left="720"/>
        <w:jc w:val="both"/>
        <w:rPr>
          <w:rFonts w:cs="Arial"/>
          <w:bCs/>
          <w:szCs w:val="24"/>
        </w:rPr>
      </w:pPr>
    </w:p>
    <w:p w14:paraId="5698A0A0" w14:textId="77777777" w:rsidR="00B462F4" w:rsidRPr="00B462F4" w:rsidRDefault="00B462F4" w:rsidP="00850709">
      <w:pPr>
        <w:numPr>
          <w:ilvl w:val="0"/>
          <w:numId w:val="6"/>
        </w:numPr>
        <w:tabs>
          <w:tab w:val="left" w:pos="142"/>
        </w:tabs>
        <w:ind w:left="426" w:hanging="284"/>
        <w:jc w:val="both"/>
        <w:rPr>
          <w:rFonts w:cs="Arial"/>
          <w:b/>
          <w:bCs/>
          <w:szCs w:val="24"/>
        </w:rPr>
      </w:pPr>
      <w:r w:rsidRPr="00B462F4">
        <w:rPr>
          <w:rFonts w:cs="Arial"/>
          <w:b/>
          <w:bCs/>
          <w:szCs w:val="24"/>
        </w:rPr>
        <w:t xml:space="preserve">Use of HRA stock as Temporary Accommodation – </w:t>
      </w:r>
      <w:r w:rsidRPr="00B462F4">
        <w:rPr>
          <w:rFonts w:cs="Arial"/>
          <w:bCs/>
          <w:szCs w:val="24"/>
        </w:rPr>
        <w:t>HRA units have been used to accommodate homeless families and it has been assumed this will continue to alleviate the significant cost pressures which would otherwise arise on the Council’s General Fund.</w:t>
      </w:r>
    </w:p>
    <w:p w14:paraId="38570A5E" w14:textId="77777777" w:rsidR="00B462F4" w:rsidRPr="00B462F4" w:rsidRDefault="00B462F4" w:rsidP="00B462F4">
      <w:pPr>
        <w:ind w:left="720"/>
        <w:jc w:val="both"/>
        <w:rPr>
          <w:rFonts w:cs="Arial"/>
          <w:bCs/>
          <w:szCs w:val="24"/>
        </w:rPr>
      </w:pPr>
    </w:p>
    <w:p w14:paraId="7E3595BB" w14:textId="77777777" w:rsidR="00B462F4" w:rsidRPr="00B462F4" w:rsidRDefault="00B462F4" w:rsidP="00850709">
      <w:pPr>
        <w:numPr>
          <w:ilvl w:val="0"/>
          <w:numId w:val="3"/>
        </w:numPr>
        <w:tabs>
          <w:tab w:val="left" w:pos="284"/>
        </w:tabs>
        <w:ind w:left="142" w:hanging="284"/>
        <w:jc w:val="both"/>
        <w:rPr>
          <w:rFonts w:cs="Arial"/>
          <w:bCs/>
          <w:szCs w:val="24"/>
        </w:rPr>
      </w:pPr>
      <w:r w:rsidRPr="00B462F4">
        <w:rPr>
          <w:rFonts w:cs="Arial"/>
          <w:bCs/>
          <w:szCs w:val="24"/>
        </w:rPr>
        <w:t>A full list of assumptions underpinning this update is given in Appendix 1.</w:t>
      </w:r>
    </w:p>
    <w:p w14:paraId="68BE221D" w14:textId="77777777" w:rsidR="00B462F4" w:rsidRPr="00B462F4" w:rsidRDefault="00B462F4" w:rsidP="00B462F4">
      <w:pPr>
        <w:ind w:left="720"/>
        <w:jc w:val="both"/>
        <w:rPr>
          <w:rFonts w:cs="Arial"/>
          <w:bCs/>
          <w:color w:val="0070C0"/>
          <w:szCs w:val="24"/>
        </w:rPr>
      </w:pPr>
    </w:p>
    <w:p w14:paraId="612FA40D" w14:textId="77777777" w:rsidR="00B462F4" w:rsidRPr="00B462F4" w:rsidRDefault="00B462F4" w:rsidP="00B41F4F">
      <w:pPr>
        <w:jc w:val="both"/>
        <w:rPr>
          <w:rFonts w:cs="Arial"/>
          <w:bCs/>
          <w:color w:val="0070C0"/>
          <w:szCs w:val="24"/>
        </w:rPr>
      </w:pPr>
    </w:p>
    <w:p w14:paraId="7BB567AD" w14:textId="77777777" w:rsidR="00B462F4" w:rsidRPr="00B462F4" w:rsidRDefault="00B462F4" w:rsidP="00B462F4">
      <w:pPr>
        <w:jc w:val="both"/>
        <w:outlineLvl w:val="1"/>
        <w:rPr>
          <w:rFonts w:cs="Arial"/>
          <w:b/>
          <w:bCs/>
          <w:sz w:val="28"/>
          <w:szCs w:val="32"/>
        </w:rPr>
      </w:pPr>
      <w:r w:rsidRPr="00B462F4">
        <w:rPr>
          <w:rFonts w:cs="Arial"/>
          <w:b/>
          <w:bCs/>
          <w:sz w:val="28"/>
          <w:szCs w:val="32"/>
        </w:rPr>
        <w:t>Summary outputs</w:t>
      </w:r>
    </w:p>
    <w:p w14:paraId="795759B2" w14:textId="77777777" w:rsidR="00B462F4" w:rsidRPr="00B462F4" w:rsidRDefault="00B462F4" w:rsidP="00B462F4">
      <w:pPr>
        <w:ind w:left="720"/>
        <w:jc w:val="both"/>
        <w:rPr>
          <w:rFonts w:cs="Arial"/>
          <w:bCs/>
          <w:szCs w:val="24"/>
        </w:rPr>
      </w:pPr>
    </w:p>
    <w:p w14:paraId="2718F9A0" w14:textId="77777777" w:rsidR="00B462F4" w:rsidRPr="00B462F4" w:rsidRDefault="00B462F4" w:rsidP="00850709">
      <w:pPr>
        <w:numPr>
          <w:ilvl w:val="0"/>
          <w:numId w:val="3"/>
        </w:numPr>
        <w:tabs>
          <w:tab w:val="left" w:pos="284"/>
        </w:tabs>
        <w:ind w:left="142" w:hanging="284"/>
        <w:jc w:val="both"/>
        <w:rPr>
          <w:szCs w:val="24"/>
        </w:rPr>
      </w:pPr>
      <w:r w:rsidRPr="00B462F4">
        <w:rPr>
          <w:szCs w:val="24"/>
        </w:rPr>
        <w:t>The table below summarises the key outputs from the Business Plan as at years 5 and 10 based on the current information available and assumptions listed in Appendix 1 and shows, on a cumulative basis:</w:t>
      </w:r>
    </w:p>
    <w:p w14:paraId="042D41A0" w14:textId="77777777" w:rsidR="00B462F4" w:rsidRPr="00B462F4" w:rsidRDefault="00B462F4" w:rsidP="00B462F4">
      <w:pPr>
        <w:tabs>
          <w:tab w:val="left" w:pos="142"/>
        </w:tabs>
        <w:ind w:left="142"/>
        <w:jc w:val="both"/>
        <w:rPr>
          <w:szCs w:val="24"/>
        </w:rPr>
      </w:pPr>
    </w:p>
    <w:p w14:paraId="573B4A13" w14:textId="77777777" w:rsidR="00B462F4" w:rsidRPr="00B462F4" w:rsidRDefault="00B462F4" w:rsidP="00850709">
      <w:pPr>
        <w:numPr>
          <w:ilvl w:val="0"/>
          <w:numId w:val="7"/>
        </w:numPr>
        <w:tabs>
          <w:tab w:val="left" w:pos="142"/>
        </w:tabs>
        <w:jc w:val="both"/>
        <w:rPr>
          <w:szCs w:val="24"/>
        </w:rPr>
      </w:pPr>
      <w:r w:rsidRPr="00B462F4">
        <w:rPr>
          <w:szCs w:val="24"/>
        </w:rPr>
        <w:t>Revenue reserves</w:t>
      </w:r>
    </w:p>
    <w:p w14:paraId="1895A886" w14:textId="77777777" w:rsidR="00B462F4" w:rsidRPr="00B462F4" w:rsidRDefault="00B462F4" w:rsidP="00850709">
      <w:pPr>
        <w:numPr>
          <w:ilvl w:val="0"/>
          <w:numId w:val="7"/>
        </w:numPr>
        <w:tabs>
          <w:tab w:val="left" w:pos="142"/>
        </w:tabs>
        <w:jc w:val="both"/>
        <w:rPr>
          <w:szCs w:val="24"/>
        </w:rPr>
      </w:pPr>
      <w:r w:rsidRPr="00B462F4">
        <w:rPr>
          <w:szCs w:val="24"/>
        </w:rPr>
        <w:t>Capital expenditure including new build</w:t>
      </w:r>
    </w:p>
    <w:p w14:paraId="406EEC8E" w14:textId="77777777" w:rsidR="00B462F4" w:rsidRPr="00B462F4" w:rsidRDefault="00B462F4" w:rsidP="00850709">
      <w:pPr>
        <w:numPr>
          <w:ilvl w:val="0"/>
          <w:numId w:val="7"/>
        </w:numPr>
        <w:tabs>
          <w:tab w:val="left" w:pos="142"/>
        </w:tabs>
        <w:jc w:val="both"/>
        <w:rPr>
          <w:szCs w:val="24"/>
        </w:rPr>
      </w:pPr>
      <w:r w:rsidRPr="00B462F4">
        <w:rPr>
          <w:szCs w:val="24"/>
        </w:rPr>
        <w:t>Debt, historic and new debt</w:t>
      </w:r>
    </w:p>
    <w:p w14:paraId="7A75CF2F" w14:textId="77777777" w:rsidR="00B462F4" w:rsidRPr="00B462F4" w:rsidRDefault="00B462F4" w:rsidP="00850709">
      <w:pPr>
        <w:numPr>
          <w:ilvl w:val="0"/>
          <w:numId w:val="7"/>
        </w:numPr>
        <w:tabs>
          <w:tab w:val="left" w:pos="142"/>
        </w:tabs>
        <w:jc w:val="both"/>
        <w:rPr>
          <w:szCs w:val="24"/>
        </w:rPr>
      </w:pPr>
      <w:r w:rsidRPr="00B462F4">
        <w:rPr>
          <w:szCs w:val="24"/>
        </w:rPr>
        <w:t>Major Repairs Reserve (MRR) which can be used for additional capital expenditure and increased repayment of debt</w:t>
      </w:r>
    </w:p>
    <w:p w14:paraId="149A48D8" w14:textId="77777777" w:rsidR="00B462F4" w:rsidRPr="00B462F4" w:rsidRDefault="00B462F4" w:rsidP="00B462F4">
      <w:pPr>
        <w:autoSpaceDE w:val="0"/>
        <w:autoSpaceDN w:val="0"/>
        <w:adjustRightInd w:val="0"/>
        <w:jc w:val="both"/>
        <w:rPr>
          <w:b/>
          <w:szCs w:val="24"/>
        </w:rPr>
      </w:pPr>
    </w:p>
    <w:p w14:paraId="7DE9493A" w14:textId="77777777" w:rsidR="00B462F4" w:rsidRPr="00B462F4" w:rsidRDefault="00B462F4" w:rsidP="00B462F4">
      <w:pPr>
        <w:autoSpaceDE w:val="0"/>
        <w:autoSpaceDN w:val="0"/>
        <w:adjustRightInd w:val="0"/>
        <w:jc w:val="both"/>
        <w:rPr>
          <w:b/>
          <w:szCs w:val="24"/>
        </w:rPr>
      </w:pPr>
      <w:r w:rsidRPr="00B462F4">
        <w:rPr>
          <w:b/>
          <w:szCs w:val="24"/>
        </w:rPr>
        <w:t>Cumulative revenue &amp; capital expenditure and borrowing</w:t>
      </w:r>
    </w:p>
    <w:p w14:paraId="79AB3033" w14:textId="77777777" w:rsidR="00B462F4" w:rsidRPr="00B462F4" w:rsidRDefault="00B462F4" w:rsidP="00B462F4">
      <w:pPr>
        <w:autoSpaceDE w:val="0"/>
        <w:autoSpaceDN w:val="0"/>
        <w:adjustRightInd w:val="0"/>
        <w:jc w:val="both"/>
        <w:rPr>
          <w:color w:val="0070C0"/>
          <w:szCs w:val="24"/>
        </w:rPr>
      </w:pPr>
      <w:r w:rsidRPr="00B462F4">
        <w:rPr>
          <w:color w:val="0070C0"/>
          <w:szCs w:val="24"/>
        </w:rPr>
        <w:tab/>
      </w:r>
    </w:p>
    <w:tbl>
      <w:tblPr>
        <w:tblW w:w="7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417"/>
        <w:gridCol w:w="1503"/>
        <w:gridCol w:w="1329"/>
        <w:gridCol w:w="1562"/>
      </w:tblGrid>
      <w:tr w:rsidR="00B462F4" w:rsidRPr="00B462F4" w14:paraId="04C66BCE" w14:textId="77777777" w:rsidTr="0082610E">
        <w:trPr>
          <w:jc w:val="center"/>
        </w:trPr>
        <w:tc>
          <w:tcPr>
            <w:tcW w:w="1895" w:type="dxa"/>
            <w:shd w:val="clear" w:color="auto" w:fill="auto"/>
            <w:vAlign w:val="center"/>
          </w:tcPr>
          <w:p w14:paraId="376517BA" w14:textId="77777777" w:rsidR="00B462F4" w:rsidRPr="00B462F4" w:rsidRDefault="00B462F4" w:rsidP="00B462F4">
            <w:pPr>
              <w:jc w:val="both"/>
              <w:rPr>
                <w:rFonts w:cs="Arial"/>
                <w:b/>
                <w:bCs/>
                <w:sz w:val="22"/>
                <w:szCs w:val="22"/>
              </w:rPr>
            </w:pPr>
            <w:r w:rsidRPr="00B462F4">
              <w:rPr>
                <w:rFonts w:cs="Arial"/>
                <w:b/>
                <w:bCs/>
                <w:sz w:val="22"/>
                <w:szCs w:val="22"/>
              </w:rPr>
              <w:t xml:space="preserve">Financial year, all cumulative </w:t>
            </w:r>
          </w:p>
        </w:tc>
        <w:tc>
          <w:tcPr>
            <w:tcW w:w="1417" w:type="dxa"/>
            <w:shd w:val="clear" w:color="auto" w:fill="auto"/>
            <w:vAlign w:val="center"/>
          </w:tcPr>
          <w:p w14:paraId="3C4C1682" w14:textId="77777777" w:rsidR="00B462F4" w:rsidRPr="00B462F4" w:rsidRDefault="00B462F4" w:rsidP="00B462F4">
            <w:pPr>
              <w:jc w:val="right"/>
              <w:rPr>
                <w:rFonts w:cs="Arial"/>
                <w:b/>
                <w:bCs/>
                <w:sz w:val="22"/>
                <w:szCs w:val="22"/>
              </w:rPr>
            </w:pPr>
            <w:r w:rsidRPr="00B462F4">
              <w:rPr>
                <w:rFonts w:cs="Arial"/>
                <w:b/>
                <w:bCs/>
                <w:sz w:val="22"/>
                <w:szCs w:val="22"/>
              </w:rPr>
              <w:t xml:space="preserve">Revenue reserves </w:t>
            </w:r>
          </w:p>
          <w:p w14:paraId="4E084E32" w14:textId="77777777" w:rsidR="00B462F4" w:rsidRPr="00B462F4" w:rsidRDefault="00B462F4" w:rsidP="00B462F4">
            <w:pPr>
              <w:jc w:val="right"/>
              <w:rPr>
                <w:rFonts w:cs="Arial"/>
                <w:b/>
                <w:bCs/>
                <w:sz w:val="22"/>
                <w:szCs w:val="22"/>
              </w:rPr>
            </w:pPr>
            <w:r w:rsidRPr="00B462F4">
              <w:rPr>
                <w:rFonts w:cs="Arial"/>
                <w:b/>
                <w:bCs/>
                <w:sz w:val="22"/>
                <w:szCs w:val="22"/>
              </w:rPr>
              <w:t>£’000s</w:t>
            </w:r>
          </w:p>
        </w:tc>
        <w:tc>
          <w:tcPr>
            <w:tcW w:w="1503" w:type="dxa"/>
            <w:shd w:val="clear" w:color="auto" w:fill="auto"/>
            <w:vAlign w:val="center"/>
          </w:tcPr>
          <w:p w14:paraId="2FACAD41" w14:textId="77777777" w:rsidR="00B462F4" w:rsidRPr="00B462F4" w:rsidRDefault="00B462F4" w:rsidP="00B462F4">
            <w:pPr>
              <w:jc w:val="right"/>
              <w:rPr>
                <w:rFonts w:cs="Arial"/>
                <w:b/>
                <w:bCs/>
                <w:sz w:val="22"/>
                <w:szCs w:val="22"/>
              </w:rPr>
            </w:pPr>
            <w:r w:rsidRPr="00B462F4">
              <w:rPr>
                <w:rFonts w:cs="Arial"/>
                <w:b/>
                <w:bCs/>
                <w:sz w:val="22"/>
                <w:szCs w:val="22"/>
              </w:rPr>
              <w:t xml:space="preserve">Capital expenditure </w:t>
            </w:r>
          </w:p>
          <w:p w14:paraId="0E7F6F55" w14:textId="77777777" w:rsidR="00B462F4" w:rsidRPr="00B462F4" w:rsidRDefault="00B462F4" w:rsidP="00B462F4">
            <w:pPr>
              <w:jc w:val="right"/>
              <w:rPr>
                <w:rFonts w:cs="Arial"/>
                <w:b/>
                <w:bCs/>
                <w:sz w:val="22"/>
                <w:szCs w:val="22"/>
              </w:rPr>
            </w:pPr>
            <w:r w:rsidRPr="00B462F4">
              <w:rPr>
                <w:rFonts w:cs="Arial"/>
                <w:b/>
                <w:bCs/>
                <w:sz w:val="22"/>
                <w:szCs w:val="22"/>
              </w:rPr>
              <w:t>£’000s</w:t>
            </w:r>
          </w:p>
        </w:tc>
        <w:tc>
          <w:tcPr>
            <w:tcW w:w="1329" w:type="dxa"/>
            <w:vAlign w:val="center"/>
          </w:tcPr>
          <w:p w14:paraId="49DEC5C1" w14:textId="77777777" w:rsidR="00B462F4" w:rsidRPr="00B462F4" w:rsidRDefault="00B462F4" w:rsidP="00B462F4">
            <w:pPr>
              <w:jc w:val="right"/>
              <w:rPr>
                <w:rFonts w:cs="Arial"/>
                <w:b/>
                <w:bCs/>
                <w:sz w:val="22"/>
                <w:szCs w:val="22"/>
              </w:rPr>
            </w:pPr>
            <w:r w:rsidRPr="00B462F4">
              <w:rPr>
                <w:rFonts w:cs="Arial"/>
                <w:b/>
                <w:bCs/>
                <w:sz w:val="22"/>
                <w:szCs w:val="22"/>
              </w:rPr>
              <w:t>Borrowing including historic debt</w:t>
            </w:r>
          </w:p>
          <w:p w14:paraId="02554799" w14:textId="77777777" w:rsidR="00B462F4" w:rsidRPr="00B462F4" w:rsidRDefault="00B462F4" w:rsidP="00B462F4">
            <w:pPr>
              <w:jc w:val="right"/>
              <w:rPr>
                <w:rFonts w:cs="Arial"/>
                <w:b/>
                <w:bCs/>
                <w:sz w:val="22"/>
                <w:szCs w:val="22"/>
              </w:rPr>
            </w:pPr>
            <w:r w:rsidRPr="00B462F4">
              <w:rPr>
                <w:rFonts w:cs="Arial"/>
                <w:b/>
                <w:bCs/>
                <w:sz w:val="22"/>
                <w:szCs w:val="22"/>
              </w:rPr>
              <w:t>£’000s</w:t>
            </w:r>
          </w:p>
        </w:tc>
        <w:tc>
          <w:tcPr>
            <w:tcW w:w="1562" w:type="dxa"/>
            <w:vAlign w:val="center"/>
          </w:tcPr>
          <w:p w14:paraId="1CA85AD4" w14:textId="77777777" w:rsidR="00B462F4" w:rsidRPr="00B462F4" w:rsidRDefault="00B462F4" w:rsidP="00B462F4">
            <w:pPr>
              <w:jc w:val="right"/>
              <w:rPr>
                <w:rFonts w:cs="Arial"/>
                <w:b/>
                <w:bCs/>
                <w:sz w:val="22"/>
                <w:szCs w:val="22"/>
              </w:rPr>
            </w:pPr>
            <w:r w:rsidRPr="00B462F4">
              <w:rPr>
                <w:rFonts w:cs="Arial"/>
                <w:b/>
                <w:bCs/>
                <w:sz w:val="22"/>
                <w:szCs w:val="22"/>
              </w:rPr>
              <w:t>MRR after provision for debt repayments</w:t>
            </w:r>
          </w:p>
          <w:p w14:paraId="01B12ADF" w14:textId="77777777" w:rsidR="00B462F4" w:rsidRPr="00B462F4" w:rsidRDefault="00B462F4" w:rsidP="00B462F4">
            <w:pPr>
              <w:jc w:val="right"/>
              <w:rPr>
                <w:rFonts w:cs="Arial"/>
                <w:b/>
                <w:bCs/>
                <w:sz w:val="22"/>
                <w:szCs w:val="22"/>
              </w:rPr>
            </w:pPr>
            <w:r w:rsidRPr="00B462F4">
              <w:rPr>
                <w:rFonts w:cs="Arial"/>
                <w:b/>
                <w:bCs/>
                <w:sz w:val="22"/>
                <w:szCs w:val="22"/>
              </w:rPr>
              <w:t>£’000s</w:t>
            </w:r>
          </w:p>
        </w:tc>
      </w:tr>
      <w:tr w:rsidR="00B462F4" w:rsidRPr="00B462F4" w14:paraId="4897E90F" w14:textId="77777777" w:rsidTr="0082610E">
        <w:trPr>
          <w:trHeight w:hRule="exact" w:val="510"/>
          <w:jc w:val="center"/>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4B22798E" w14:textId="77777777" w:rsidR="00B462F4" w:rsidRPr="00B462F4" w:rsidRDefault="00B462F4" w:rsidP="00B462F4">
            <w:pPr>
              <w:jc w:val="both"/>
              <w:rPr>
                <w:rFonts w:cs="Arial"/>
                <w:sz w:val="22"/>
                <w:szCs w:val="22"/>
              </w:rPr>
            </w:pPr>
            <w:r w:rsidRPr="00B462F4">
              <w:rPr>
                <w:rFonts w:cs="Arial"/>
                <w:sz w:val="22"/>
                <w:szCs w:val="22"/>
              </w:rPr>
              <w:t xml:space="preserve">2024-25, to </w:t>
            </w:r>
            <w:proofErr w:type="spellStart"/>
            <w:r w:rsidRPr="00B462F4">
              <w:rPr>
                <w:rFonts w:cs="Arial"/>
                <w:sz w:val="22"/>
                <w:szCs w:val="22"/>
              </w:rPr>
              <w:t>yr</w:t>
            </w:r>
            <w:proofErr w:type="spellEnd"/>
            <w:r w:rsidRPr="00B462F4">
              <w:rPr>
                <w:rFonts w:cs="Arial"/>
                <w:sz w:val="22"/>
                <w:szCs w:val="22"/>
              </w:rPr>
              <w:t xml:space="preserve"> 5</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9E2482" w14:textId="77777777" w:rsidR="00B462F4" w:rsidRPr="00B462F4" w:rsidRDefault="00B462F4" w:rsidP="00B462F4">
            <w:pPr>
              <w:jc w:val="right"/>
              <w:rPr>
                <w:rFonts w:cs="Arial"/>
                <w:sz w:val="22"/>
                <w:szCs w:val="22"/>
              </w:rPr>
            </w:pPr>
            <w:r w:rsidRPr="00B462F4">
              <w:rPr>
                <w:rFonts w:cs="Arial"/>
                <w:sz w:val="22"/>
                <w:szCs w:val="22"/>
              </w:rPr>
              <w:t>9,962</w:t>
            </w:r>
          </w:p>
        </w:tc>
        <w:tc>
          <w:tcPr>
            <w:tcW w:w="1503" w:type="dxa"/>
            <w:tcBorders>
              <w:top w:val="single" w:sz="4" w:space="0" w:color="auto"/>
              <w:left w:val="nil"/>
              <w:bottom w:val="single" w:sz="4" w:space="0" w:color="auto"/>
              <w:right w:val="single" w:sz="4" w:space="0" w:color="auto"/>
            </w:tcBorders>
            <w:shd w:val="clear" w:color="auto" w:fill="auto"/>
            <w:vAlign w:val="center"/>
          </w:tcPr>
          <w:p w14:paraId="41EB30F2" w14:textId="77777777" w:rsidR="00B462F4" w:rsidRPr="00B462F4" w:rsidRDefault="00B462F4" w:rsidP="00B462F4">
            <w:pPr>
              <w:jc w:val="right"/>
              <w:rPr>
                <w:rFonts w:cs="Arial"/>
                <w:sz w:val="22"/>
                <w:szCs w:val="22"/>
              </w:rPr>
            </w:pPr>
            <w:r w:rsidRPr="00B462F4">
              <w:rPr>
                <w:rFonts w:cs="Arial"/>
                <w:sz w:val="22"/>
                <w:szCs w:val="22"/>
              </w:rPr>
              <w:t>176,863</w:t>
            </w:r>
          </w:p>
        </w:tc>
        <w:tc>
          <w:tcPr>
            <w:tcW w:w="1329" w:type="dxa"/>
            <w:tcBorders>
              <w:top w:val="single" w:sz="4" w:space="0" w:color="auto"/>
              <w:left w:val="nil"/>
              <w:bottom w:val="single" w:sz="4" w:space="0" w:color="auto"/>
              <w:right w:val="single" w:sz="4" w:space="0" w:color="auto"/>
            </w:tcBorders>
            <w:shd w:val="clear" w:color="auto" w:fill="auto"/>
            <w:vAlign w:val="center"/>
          </w:tcPr>
          <w:p w14:paraId="76C183B6" w14:textId="77777777" w:rsidR="00B462F4" w:rsidRPr="00B462F4" w:rsidRDefault="00B462F4" w:rsidP="00B462F4">
            <w:pPr>
              <w:jc w:val="right"/>
              <w:rPr>
                <w:rFonts w:cs="Arial"/>
                <w:sz w:val="22"/>
                <w:szCs w:val="22"/>
              </w:rPr>
            </w:pPr>
            <w:r w:rsidRPr="00B462F4">
              <w:rPr>
                <w:rFonts w:cs="Arial"/>
                <w:sz w:val="22"/>
                <w:szCs w:val="22"/>
              </w:rPr>
              <w:t>223,020</w:t>
            </w:r>
          </w:p>
        </w:tc>
        <w:tc>
          <w:tcPr>
            <w:tcW w:w="1562" w:type="dxa"/>
            <w:tcBorders>
              <w:top w:val="single" w:sz="4" w:space="0" w:color="auto"/>
              <w:left w:val="nil"/>
              <w:bottom w:val="single" w:sz="4" w:space="0" w:color="auto"/>
              <w:right w:val="single" w:sz="4" w:space="0" w:color="auto"/>
            </w:tcBorders>
            <w:shd w:val="clear" w:color="auto" w:fill="auto"/>
            <w:vAlign w:val="center"/>
          </w:tcPr>
          <w:p w14:paraId="78E6C81D" w14:textId="77777777" w:rsidR="00B462F4" w:rsidRPr="00B462F4" w:rsidRDefault="00B462F4" w:rsidP="00B462F4">
            <w:pPr>
              <w:jc w:val="right"/>
              <w:rPr>
                <w:rFonts w:cs="Arial"/>
                <w:sz w:val="22"/>
                <w:szCs w:val="22"/>
              </w:rPr>
            </w:pPr>
            <w:r w:rsidRPr="00B462F4">
              <w:rPr>
                <w:rFonts w:cs="Arial"/>
                <w:sz w:val="22"/>
                <w:szCs w:val="22"/>
              </w:rPr>
              <w:t>107</w:t>
            </w:r>
          </w:p>
        </w:tc>
      </w:tr>
      <w:tr w:rsidR="00B462F4" w:rsidRPr="00B462F4" w14:paraId="1C3EBCCE" w14:textId="77777777" w:rsidTr="0082610E">
        <w:trPr>
          <w:trHeight w:hRule="exact" w:val="510"/>
          <w:jc w:val="center"/>
        </w:trPr>
        <w:tc>
          <w:tcPr>
            <w:tcW w:w="1895" w:type="dxa"/>
            <w:tcBorders>
              <w:top w:val="nil"/>
              <w:left w:val="single" w:sz="4" w:space="0" w:color="auto"/>
              <w:bottom w:val="single" w:sz="4" w:space="0" w:color="auto"/>
              <w:right w:val="single" w:sz="4" w:space="0" w:color="auto"/>
            </w:tcBorders>
            <w:shd w:val="clear" w:color="auto" w:fill="auto"/>
            <w:vAlign w:val="center"/>
          </w:tcPr>
          <w:p w14:paraId="06D4CD47" w14:textId="77777777" w:rsidR="00B462F4" w:rsidRPr="00B462F4" w:rsidRDefault="00B462F4" w:rsidP="00B462F4">
            <w:pPr>
              <w:jc w:val="both"/>
              <w:rPr>
                <w:rFonts w:cs="Arial"/>
                <w:sz w:val="22"/>
                <w:szCs w:val="22"/>
              </w:rPr>
            </w:pPr>
            <w:r w:rsidRPr="00B462F4">
              <w:rPr>
                <w:rFonts w:cs="Arial"/>
                <w:sz w:val="22"/>
                <w:szCs w:val="22"/>
              </w:rPr>
              <w:t xml:space="preserve">2029-30, to </w:t>
            </w:r>
            <w:proofErr w:type="spellStart"/>
            <w:r w:rsidRPr="00B462F4">
              <w:rPr>
                <w:rFonts w:cs="Arial"/>
                <w:sz w:val="22"/>
                <w:szCs w:val="22"/>
              </w:rPr>
              <w:t>yr</w:t>
            </w:r>
            <w:proofErr w:type="spellEnd"/>
            <w:r w:rsidRPr="00B462F4">
              <w:rPr>
                <w:rFonts w:cs="Arial"/>
                <w:sz w:val="22"/>
                <w:szCs w:val="22"/>
              </w:rPr>
              <w:t xml:space="preserve"> 10</w:t>
            </w:r>
          </w:p>
        </w:tc>
        <w:tc>
          <w:tcPr>
            <w:tcW w:w="1417" w:type="dxa"/>
            <w:tcBorders>
              <w:top w:val="nil"/>
              <w:left w:val="nil"/>
              <w:bottom w:val="single" w:sz="4" w:space="0" w:color="auto"/>
              <w:right w:val="single" w:sz="4" w:space="0" w:color="auto"/>
            </w:tcBorders>
            <w:shd w:val="clear" w:color="auto" w:fill="auto"/>
            <w:vAlign w:val="center"/>
          </w:tcPr>
          <w:p w14:paraId="2CD3D4B1" w14:textId="77777777" w:rsidR="00B462F4" w:rsidRPr="00B462F4" w:rsidRDefault="00B462F4" w:rsidP="00B462F4">
            <w:pPr>
              <w:jc w:val="right"/>
              <w:rPr>
                <w:rFonts w:cs="Arial"/>
                <w:sz w:val="22"/>
                <w:szCs w:val="22"/>
              </w:rPr>
            </w:pPr>
            <w:r w:rsidRPr="00B462F4">
              <w:rPr>
                <w:rFonts w:cs="Arial"/>
                <w:sz w:val="22"/>
                <w:szCs w:val="22"/>
              </w:rPr>
              <w:t>18,934</w:t>
            </w:r>
          </w:p>
        </w:tc>
        <w:tc>
          <w:tcPr>
            <w:tcW w:w="1503" w:type="dxa"/>
            <w:tcBorders>
              <w:top w:val="nil"/>
              <w:left w:val="nil"/>
              <w:bottom w:val="single" w:sz="4" w:space="0" w:color="auto"/>
              <w:right w:val="single" w:sz="4" w:space="0" w:color="auto"/>
            </w:tcBorders>
            <w:shd w:val="clear" w:color="auto" w:fill="auto"/>
            <w:vAlign w:val="center"/>
          </w:tcPr>
          <w:p w14:paraId="5593511B" w14:textId="77777777" w:rsidR="00B462F4" w:rsidRPr="00B462F4" w:rsidRDefault="00B462F4" w:rsidP="00B462F4">
            <w:pPr>
              <w:jc w:val="right"/>
              <w:rPr>
                <w:rFonts w:cs="Arial"/>
                <w:sz w:val="22"/>
                <w:szCs w:val="22"/>
              </w:rPr>
            </w:pPr>
            <w:r w:rsidRPr="00B462F4">
              <w:rPr>
                <w:rFonts w:cs="Arial"/>
                <w:sz w:val="22"/>
                <w:szCs w:val="22"/>
              </w:rPr>
              <w:t>216,531</w:t>
            </w:r>
          </w:p>
        </w:tc>
        <w:tc>
          <w:tcPr>
            <w:tcW w:w="1329" w:type="dxa"/>
            <w:tcBorders>
              <w:top w:val="nil"/>
              <w:left w:val="nil"/>
              <w:bottom w:val="single" w:sz="4" w:space="0" w:color="auto"/>
              <w:right w:val="single" w:sz="4" w:space="0" w:color="auto"/>
            </w:tcBorders>
            <w:shd w:val="clear" w:color="auto" w:fill="auto"/>
            <w:vAlign w:val="center"/>
          </w:tcPr>
          <w:p w14:paraId="0F9B6B9A" w14:textId="77777777" w:rsidR="00B462F4" w:rsidRPr="00B462F4" w:rsidRDefault="00B462F4" w:rsidP="00B462F4">
            <w:pPr>
              <w:jc w:val="right"/>
              <w:rPr>
                <w:rFonts w:cs="Arial"/>
                <w:sz w:val="22"/>
                <w:szCs w:val="22"/>
              </w:rPr>
            </w:pPr>
            <w:r w:rsidRPr="00B462F4">
              <w:rPr>
                <w:rFonts w:cs="Arial"/>
                <w:sz w:val="22"/>
                <w:szCs w:val="22"/>
              </w:rPr>
              <w:t>223,020</w:t>
            </w:r>
          </w:p>
        </w:tc>
        <w:tc>
          <w:tcPr>
            <w:tcW w:w="1562" w:type="dxa"/>
            <w:tcBorders>
              <w:top w:val="nil"/>
              <w:left w:val="nil"/>
              <w:bottom w:val="single" w:sz="4" w:space="0" w:color="auto"/>
              <w:right w:val="single" w:sz="4" w:space="0" w:color="auto"/>
            </w:tcBorders>
            <w:shd w:val="clear" w:color="auto" w:fill="auto"/>
            <w:vAlign w:val="center"/>
          </w:tcPr>
          <w:p w14:paraId="587BB0E9" w14:textId="77777777" w:rsidR="00B462F4" w:rsidRPr="00B462F4" w:rsidRDefault="00B462F4" w:rsidP="00B462F4">
            <w:pPr>
              <w:jc w:val="right"/>
              <w:rPr>
                <w:rFonts w:cs="Arial"/>
                <w:sz w:val="22"/>
                <w:szCs w:val="22"/>
              </w:rPr>
            </w:pPr>
            <w:r w:rsidRPr="00B462F4">
              <w:rPr>
                <w:rFonts w:cs="Arial"/>
                <w:sz w:val="22"/>
                <w:szCs w:val="22"/>
              </w:rPr>
              <w:t>12,752</w:t>
            </w:r>
          </w:p>
        </w:tc>
      </w:tr>
    </w:tbl>
    <w:p w14:paraId="2DDDDC5D" w14:textId="77777777" w:rsidR="00B462F4" w:rsidRPr="00B462F4" w:rsidRDefault="00B462F4" w:rsidP="00B462F4">
      <w:pPr>
        <w:tabs>
          <w:tab w:val="left" w:pos="142"/>
        </w:tabs>
        <w:jc w:val="both"/>
        <w:rPr>
          <w:color w:val="0070C0"/>
          <w:highlight w:val="lightGray"/>
        </w:rPr>
      </w:pPr>
    </w:p>
    <w:p w14:paraId="335BB819" w14:textId="77777777" w:rsidR="00B462F4" w:rsidRPr="00B462F4" w:rsidRDefault="00B462F4" w:rsidP="00850709">
      <w:pPr>
        <w:numPr>
          <w:ilvl w:val="0"/>
          <w:numId w:val="3"/>
        </w:numPr>
        <w:tabs>
          <w:tab w:val="left" w:pos="284"/>
        </w:tabs>
        <w:ind w:left="142" w:hanging="284"/>
        <w:jc w:val="both"/>
      </w:pPr>
      <w:r w:rsidRPr="00B462F4">
        <w:t>MRR or revenue reserves can be used to repay debt thereby reducing interest costs or be used to increase planned investment in stock.</w:t>
      </w:r>
    </w:p>
    <w:p w14:paraId="60B26887" w14:textId="77777777" w:rsidR="00B462F4" w:rsidRPr="00B462F4" w:rsidRDefault="00B462F4" w:rsidP="00B462F4">
      <w:pPr>
        <w:tabs>
          <w:tab w:val="left" w:pos="142"/>
        </w:tabs>
        <w:ind w:left="284" w:hanging="426"/>
        <w:jc w:val="both"/>
      </w:pPr>
    </w:p>
    <w:p w14:paraId="3760EDE4" w14:textId="5BDB8D04" w:rsidR="00B462F4" w:rsidRPr="00B462F4" w:rsidRDefault="00B462F4" w:rsidP="00850709">
      <w:pPr>
        <w:numPr>
          <w:ilvl w:val="0"/>
          <w:numId w:val="3"/>
        </w:numPr>
        <w:tabs>
          <w:tab w:val="left" w:pos="284"/>
        </w:tabs>
        <w:ind w:left="142" w:hanging="284"/>
        <w:jc w:val="both"/>
      </w:pPr>
      <w:r w:rsidRPr="00B462F4">
        <w:t xml:space="preserve">Although estimated balances on the MRR are expected to steadily increase in the medium term these will be fully utilised over the </w:t>
      </w:r>
      <w:r w:rsidR="0082610E" w:rsidRPr="00B462F4">
        <w:t>30-year</w:t>
      </w:r>
      <w:r w:rsidRPr="00B462F4">
        <w:t xml:space="preserve"> life of the Business Plan, as funding planned investment expenditure, therefore only revenue balances can be used to repay debt.</w:t>
      </w:r>
    </w:p>
    <w:p w14:paraId="1C931E6B" w14:textId="77777777" w:rsidR="00B462F4" w:rsidRPr="00B462F4" w:rsidRDefault="00B462F4" w:rsidP="00B462F4">
      <w:pPr>
        <w:ind w:left="720"/>
      </w:pPr>
    </w:p>
    <w:p w14:paraId="5302B980" w14:textId="77777777" w:rsidR="00B462F4" w:rsidRPr="00B462F4" w:rsidRDefault="00B462F4" w:rsidP="00850709">
      <w:pPr>
        <w:numPr>
          <w:ilvl w:val="0"/>
          <w:numId w:val="3"/>
        </w:numPr>
        <w:tabs>
          <w:tab w:val="left" w:pos="284"/>
        </w:tabs>
        <w:ind w:left="142" w:hanging="284"/>
        <w:jc w:val="both"/>
      </w:pPr>
      <w:r w:rsidRPr="00B462F4">
        <w:t>Longer term projections of the revenue and capital accounts are given in Appendices 2 and 3 respectively.</w:t>
      </w:r>
    </w:p>
    <w:p w14:paraId="50BD93F7" w14:textId="76432EB9" w:rsidR="00B462F4" w:rsidRDefault="00B462F4" w:rsidP="00B462F4">
      <w:pPr>
        <w:pStyle w:val="Heading2"/>
        <w:jc w:val="both"/>
      </w:pPr>
      <w:bookmarkStart w:id="0" w:name="_Hlk49254456"/>
    </w:p>
    <w:p w14:paraId="0A645C75" w14:textId="473BA1B0" w:rsidR="00415742" w:rsidRDefault="00415742" w:rsidP="00415742"/>
    <w:p w14:paraId="55B6A4B8" w14:textId="5ADA0122" w:rsidR="00415742" w:rsidRDefault="00415742" w:rsidP="00415742"/>
    <w:p w14:paraId="786A4A78" w14:textId="77777777" w:rsidR="00415742" w:rsidRPr="00415742" w:rsidRDefault="00415742" w:rsidP="00415742"/>
    <w:p w14:paraId="029D96BE" w14:textId="0354368E" w:rsidR="00B462F4" w:rsidRPr="0050656E" w:rsidRDefault="00B462F4" w:rsidP="00B462F4">
      <w:pPr>
        <w:pStyle w:val="Heading2"/>
        <w:jc w:val="both"/>
      </w:pPr>
      <w:r w:rsidRPr="0050656E">
        <w:lastRenderedPageBreak/>
        <w:t>Government Consultations</w:t>
      </w:r>
    </w:p>
    <w:p w14:paraId="72ACA301" w14:textId="77777777" w:rsidR="00B462F4" w:rsidRPr="0050656E" w:rsidRDefault="00B462F4" w:rsidP="00B462F4">
      <w:pPr>
        <w:tabs>
          <w:tab w:val="left" w:pos="284"/>
        </w:tabs>
        <w:jc w:val="both"/>
        <w:rPr>
          <w:szCs w:val="24"/>
          <w:highlight w:val="lightGray"/>
        </w:rPr>
      </w:pPr>
    </w:p>
    <w:p w14:paraId="63F64F1B" w14:textId="77777777" w:rsidR="00B462F4" w:rsidRPr="0050656E" w:rsidRDefault="00B462F4" w:rsidP="00850709">
      <w:pPr>
        <w:numPr>
          <w:ilvl w:val="0"/>
          <w:numId w:val="3"/>
        </w:numPr>
        <w:tabs>
          <w:tab w:val="left" w:pos="284"/>
        </w:tabs>
        <w:ind w:left="142" w:hanging="284"/>
        <w:jc w:val="both"/>
        <w:rPr>
          <w:szCs w:val="24"/>
        </w:rPr>
      </w:pPr>
      <w:r w:rsidRPr="0050656E">
        <w:rPr>
          <w:szCs w:val="24"/>
        </w:rPr>
        <w:t>“</w:t>
      </w:r>
      <w:hyperlink r:id="rId15" w:history="1">
        <w:r w:rsidRPr="0050656E">
          <w:rPr>
            <w:szCs w:val="24"/>
          </w:rPr>
          <w:t>Use of receipts from Right to Buy sales</w:t>
        </w:r>
      </w:hyperlink>
      <w:r w:rsidRPr="0050656E">
        <w:rPr>
          <w:szCs w:val="24"/>
        </w:rPr>
        <w:t xml:space="preserve">” – Government is proposing increasing the proportion of eligible new build expenditure which can be funded from retained right to buy receipts from 30% to 50% as well as potentially extending the deadline for reinvestment of these proceeds from three to five years enabling </w:t>
      </w:r>
      <w:r>
        <w:rPr>
          <w:szCs w:val="24"/>
        </w:rPr>
        <w:t>C</w:t>
      </w:r>
      <w:r w:rsidRPr="0050656E">
        <w:rPr>
          <w:szCs w:val="24"/>
        </w:rPr>
        <w:t xml:space="preserve">ouncils more time and manoeuvrability to reinvest earmarked sales proceeds to replenish stock lost through right to buy. This will mean </w:t>
      </w:r>
      <w:r>
        <w:rPr>
          <w:szCs w:val="24"/>
        </w:rPr>
        <w:t xml:space="preserve">the </w:t>
      </w:r>
      <w:r w:rsidRPr="0050656E">
        <w:rPr>
          <w:szCs w:val="24"/>
        </w:rPr>
        <w:t xml:space="preserve">Council will have to put less of its own resources in should this proposal go through. </w:t>
      </w:r>
    </w:p>
    <w:p w14:paraId="7B45A562" w14:textId="77777777" w:rsidR="00B462F4" w:rsidRPr="0050656E" w:rsidRDefault="00B462F4" w:rsidP="00B462F4">
      <w:pPr>
        <w:pStyle w:val="ListParagraph"/>
        <w:jc w:val="both"/>
        <w:rPr>
          <w:szCs w:val="24"/>
        </w:rPr>
      </w:pPr>
    </w:p>
    <w:p w14:paraId="39E693FE" w14:textId="77777777" w:rsidR="00B462F4" w:rsidRPr="0050656E" w:rsidRDefault="00B462F4" w:rsidP="00850709">
      <w:pPr>
        <w:numPr>
          <w:ilvl w:val="0"/>
          <w:numId w:val="3"/>
        </w:numPr>
        <w:tabs>
          <w:tab w:val="left" w:pos="284"/>
        </w:tabs>
        <w:ind w:left="142" w:hanging="284"/>
        <w:jc w:val="both"/>
        <w:rPr>
          <w:szCs w:val="24"/>
        </w:rPr>
      </w:pPr>
      <w:r w:rsidRPr="0050656E">
        <w:rPr>
          <w:szCs w:val="24"/>
        </w:rPr>
        <w:t xml:space="preserve">Other proposals in this consultation paper include ring fencing of returned RTB receipts for future use by the Council, possibly as a recycled grant, and allowing greater flexibility in the use by </w:t>
      </w:r>
      <w:r>
        <w:rPr>
          <w:szCs w:val="24"/>
        </w:rPr>
        <w:t xml:space="preserve">the </w:t>
      </w:r>
      <w:r w:rsidRPr="0050656E">
        <w:rPr>
          <w:szCs w:val="24"/>
        </w:rPr>
        <w:t xml:space="preserve">Council owned housing companies to reinvest these proceeds on the Council’s behalf.  Another proposal is extending the use of retained RTB receipts to fund shared ownership products and providing increased flexibility for the transfer of vacant General Fund land to HRA for development. Consultation closed 9th October 2018 and Government are reviewing responses as at date of this report. </w:t>
      </w:r>
    </w:p>
    <w:bookmarkEnd w:id="0"/>
    <w:p w14:paraId="5DC8469F" w14:textId="77777777" w:rsidR="00B462F4" w:rsidRDefault="00B462F4" w:rsidP="00B462F4"/>
    <w:p w14:paraId="1A4E80AE" w14:textId="77777777" w:rsidR="00B462F4" w:rsidRDefault="00B462F4" w:rsidP="0054590F">
      <w:pPr>
        <w:pStyle w:val="Heading4"/>
        <w:tabs>
          <w:tab w:val="left" w:pos="3600"/>
        </w:tabs>
        <w:rPr>
          <w:color w:val="0000FF"/>
          <w:szCs w:val="24"/>
        </w:rPr>
      </w:pPr>
    </w:p>
    <w:p w14:paraId="5BD11177" w14:textId="24FD66C1" w:rsidR="00333FAA" w:rsidRDefault="00333FAA" w:rsidP="0054590F">
      <w:pPr>
        <w:pStyle w:val="Heading4"/>
        <w:tabs>
          <w:tab w:val="left" w:pos="3600"/>
        </w:tabs>
        <w:rPr>
          <w:szCs w:val="24"/>
        </w:rPr>
      </w:pPr>
      <w:r w:rsidRPr="00B462F4">
        <w:rPr>
          <w:szCs w:val="24"/>
        </w:rPr>
        <w:t>Performance Issues</w:t>
      </w:r>
    </w:p>
    <w:p w14:paraId="285BC2CC" w14:textId="77777777" w:rsidR="00B462F4" w:rsidRPr="00B462F4" w:rsidRDefault="00B462F4" w:rsidP="00B462F4"/>
    <w:p w14:paraId="71E3CEC4" w14:textId="10BDBA88" w:rsidR="00B462F4" w:rsidRPr="00BA0108" w:rsidRDefault="00B462F4" w:rsidP="00850709">
      <w:pPr>
        <w:numPr>
          <w:ilvl w:val="0"/>
          <w:numId w:val="3"/>
        </w:numPr>
        <w:tabs>
          <w:tab w:val="left" w:pos="284"/>
        </w:tabs>
        <w:ind w:left="142" w:hanging="284"/>
        <w:jc w:val="both"/>
      </w:pPr>
      <w:r w:rsidRPr="00BA0108">
        <w:t xml:space="preserve">The </w:t>
      </w:r>
      <w:proofErr w:type="spellStart"/>
      <w:r w:rsidRPr="00BA0108">
        <w:t>BCHfL</w:t>
      </w:r>
      <w:proofErr w:type="spellEnd"/>
      <w:r w:rsidRPr="00BA0108">
        <w:t xml:space="preserve"> programme contributes to delivery of the Homes for Harrow programme and the specific delivery targets agreed with the GLA for Harrow’s</w:t>
      </w:r>
      <w:r w:rsidRPr="001F0D17">
        <w:t xml:space="preserve"> Council House Building for Londoners Programme, the Council’s target to provide up to 659 new Council homes as well as the overall affordable housing targets set out for Harrow in the London Plan. Failure to </w:t>
      </w:r>
      <w:r w:rsidRPr="00F65E32">
        <w:t xml:space="preserve">continue with </w:t>
      </w:r>
      <w:r w:rsidR="0082610E" w:rsidRPr="00F65E32">
        <w:t>the project</w:t>
      </w:r>
      <w:r w:rsidRPr="00F65E32">
        <w:t xml:space="preserve"> </w:t>
      </w:r>
      <w:r w:rsidRPr="00BA0108">
        <w:t>would jeopardise achievement of the above targets and potentially result in grant funding not bei</w:t>
      </w:r>
      <w:r w:rsidRPr="00F65E32">
        <w:t>ng taken up</w:t>
      </w:r>
      <w:r w:rsidRPr="00BA0108">
        <w:t xml:space="preserve"> resulting in costs already incurred being written off to revenue which would compromise the longer term viability of the Council’s HRA.</w:t>
      </w:r>
    </w:p>
    <w:p w14:paraId="4B8025F8" w14:textId="77777777" w:rsidR="00B462F4" w:rsidRPr="001F0D17" w:rsidRDefault="00B462F4" w:rsidP="00B462F4">
      <w:pPr>
        <w:tabs>
          <w:tab w:val="left" w:pos="284"/>
        </w:tabs>
        <w:jc w:val="both"/>
      </w:pPr>
    </w:p>
    <w:p w14:paraId="73F26C4F" w14:textId="77777777" w:rsidR="00B462F4" w:rsidRDefault="00B462F4" w:rsidP="0054590F">
      <w:pPr>
        <w:pStyle w:val="Heading4"/>
        <w:rPr>
          <w:color w:val="0000FF"/>
          <w:szCs w:val="24"/>
        </w:rPr>
      </w:pPr>
    </w:p>
    <w:p w14:paraId="5BA1621C" w14:textId="7B946578" w:rsidR="00333FAA" w:rsidRDefault="00333FAA" w:rsidP="00B462F4">
      <w:pPr>
        <w:pStyle w:val="Heading4"/>
        <w:tabs>
          <w:tab w:val="left" w:pos="3600"/>
        </w:tabs>
        <w:rPr>
          <w:szCs w:val="24"/>
        </w:rPr>
      </w:pPr>
      <w:r w:rsidRPr="00B462F4">
        <w:rPr>
          <w:szCs w:val="24"/>
        </w:rPr>
        <w:t>Environmental Implications</w:t>
      </w:r>
    </w:p>
    <w:p w14:paraId="0705969F" w14:textId="77777777" w:rsidR="00B462F4" w:rsidRPr="00B462F4" w:rsidRDefault="00B462F4" w:rsidP="00B462F4"/>
    <w:p w14:paraId="4203A747" w14:textId="59A9B258" w:rsidR="00B462F4" w:rsidRPr="00BA0108" w:rsidRDefault="00B462F4" w:rsidP="00850709">
      <w:pPr>
        <w:numPr>
          <w:ilvl w:val="0"/>
          <w:numId w:val="3"/>
        </w:numPr>
        <w:tabs>
          <w:tab w:val="left" w:pos="284"/>
        </w:tabs>
        <w:ind w:left="142" w:hanging="284"/>
        <w:jc w:val="both"/>
      </w:pPr>
      <w:r w:rsidRPr="00BA0108">
        <w:t xml:space="preserve">All new homes </w:t>
      </w:r>
      <w:r w:rsidR="0082610E" w:rsidRPr="00BA0108">
        <w:t>must</w:t>
      </w:r>
      <w:r w:rsidRPr="00BA0108">
        <w:t xml:space="preserve"> meet high standards of energy efficiency to reduce CO2 emissions as well as reduce fuel poverty as required by London Plan.</w:t>
      </w:r>
    </w:p>
    <w:p w14:paraId="2D3517C8" w14:textId="7C700622" w:rsidR="00B462F4" w:rsidRDefault="00B462F4" w:rsidP="001C7E35">
      <w:pPr>
        <w:rPr>
          <w:i/>
          <w:color w:val="0000FF"/>
        </w:rPr>
      </w:pPr>
    </w:p>
    <w:p w14:paraId="70A84547" w14:textId="77777777" w:rsidR="00B462F4" w:rsidRPr="00B54AFA" w:rsidRDefault="00B462F4" w:rsidP="001C7E35">
      <w:pPr>
        <w:rPr>
          <w:i/>
          <w:color w:val="0000FF"/>
        </w:rPr>
      </w:pPr>
    </w:p>
    <w:p w14:paraId="5EC0CC00" w14:textId="77777777" w:rsidR="002A3FEF" w:rsidRPr="00B462F4" w:rsidRDefault="002A3FEF" w:rsidP="00B462F4">
      <w:pPr>
        <w:pStyle w:val="Heading4"/>
        <w:tabs>
          <w:tab w:val="left" w:pos="3600"/>
        </w:tabs>
        <w:rPr>
          <w:szCs w:val="24"/>
        </w:rPr>
      </w:pPr>
      <w:r w:rsidRPr="00B462F4">
        <w:rPr>
          <w:szCs w:val="24"/>
        </w:rPr>
        <w:t>Dat</w:t>
      </w:r>
      <w:r w:rsidR="00DE72CF" w:rsidRPr="00B462F4">
        <w:rPr>
          <w:szCs w:val="24"/>
        </w:rPr>
        <w:t>a</w:t>
      </w:r>
      <w:r w:rsidRPr="00B462F4">
        <w:rPr>
          <w:szCs w:val="24"/>
        </w:rPr>
        <w:t xml:space="preserve"> Protection Implications</w:t>
      </w:r>
    </w:p>
    <w:p w14:paraId="46C22E03" w14:textId="39D680E2" w:rsidR="000929A6" w:rsidRDefault="000929A6" w:rsidP="000929A6">
      <w:pPr>
        <w:rPr>
          <w:iCs/>
          <w:color w:val="0000FF"/>
        </w:rPr>
      </w:pPr>
    </w:p>
    <w:p w14:paraId="14D46410" w14:textId="77777777" w:rsidR="00B462F4" w:rsidRPr="00BA0108" w:rsidRDefault="00B462F4" w:rsidP="00850709">
      <w:pPr>
        <w:numPr>
          <w:ilvl w:val="0"/>
          <w:numId w:val="3"/>
        </w:numPr>
        <w:tabs>
          <w:tab w:val="left" w:pos="284"/>
        </w:tabs>
        <w:ind w:left="142" w:hanging="284"/>
        <w:jc w:val="both"/>
      </w:pPr>
      <w:r w:rsidRPr="00BA0108">
        <w:t>There are no GDPR implications.</w:t>
      </w:r>
    </w:p>
    <w:p w14:paraId="751B4340" w14:textId="2E25584D" w:rsidR="00B462F4" w:rsidRDefault="00B462F4" w:rsidP="000929A6">
      <w:pPr>
        <w:rPr>
          <w:iCs/>
          <w:color w:val="0000FF"/>
        </w:rPr>
      </w:pPr>
    </w:p>
    <w:p w14:paraId="226BF66B" w14:textId="5ED8E31A" w:rsidR="00A81E19" w:rsidRDefault="00A81E19" w:rsidP="00A1211C">
      <w:pPr>
        <w:pStyle w:val="Heading3"/>
        <w:spacing w:before="480" w:after="240"/>
      </w:pPr>
      <w:r w:rsidRPr="001472A8">
        <w:t>Risk Management Implications</w:t>
      </w:r>
    </w:p>
    <w:p w14:paraId="2E7BCF80" w14:textId="77777777" w:rsidR="00B462F4" w:rsidRPr="004F705D" w:rsidRDefault="00B462F4" w:rsidP="00850709">
      <w:pPr>
        <w:numPr>
          <w:ilvl w:val="0"/>
          <w:numId w:val="3"/>
        </w:numPr>
        <w:tabs>
          <w:tab w:val="left" w:pos="284"/>
        </w:tabs>
        <w:ind w:left="142" w:hanging="284"/>
        <w:jc w:val="both"/>
      </w:pPr>
      <w:r w:rsidRPr="004F705D">
        <w:t>The HRA Business Plan is based on a set of assumptions which, if changed, will have a significant impact on both Revenue and Capital resources which will impact on investment decisions in the Council’s Housing stock.</w:t>
      </w:r>
    </w:p>
    <w:p w14:paraId="5ED42A41" w14:textId="77777777" w:rsidR="00B462F4" w:rsidRPr="004F705D" w:rsidRDefault="00B462F4" w:rsidP="00B462F4">
      <w:pPr>
        <w:autoSpaceDE w:val="0"/>
        <w:autoSpaceDN w:val="0"/>
        <w:adjustRightInd w:val="0"/>
        <w:ind w:left="567"/>
        <w:jc w:val="both"/>
        <w:rPr>
          <w:color w:val="0070C0"/>
        </w:rPr>
      </w:pPr>
    </w:p>
    <w:p w14:paraId="0C65E7C4" w14:textId="77777777" w:rsidR="00B462F4" w:rsidRPr="004F705D" w:rsidRDefault="00B462F4" w:rsidP="00850709">
      <w:pPr>
        <w:numPr>
          <w:ilvl w:val="0"/>
          <w:numId w:val="3"/>
        </w:numPr>
        <w:tabs>
          <w:tab w:val="left" w:pos="284"/>
        </w:tabs>
        <w:ind w:left="142" w:hanging="284"/>
        <w:jc w:val="both"/>
      </w:pPr>
      <w:r w:rsidRPr="004F705D">
        <w:t>Key assumptions underpinning the Business Plan are set out in Appendix 1 and these are included in the risk register.</w:t>
      </w:r>
    </w:p>
    <w:p w14:paraId="3C79101D" w14:textId="77777777" w:rsidR="00B462F4" w:rsidRPr="004F705D" w:rsidRDefault="00B462F4" w:rsidP="00B462F4">
      <w:pPr>
        <w:pStyle w:val="ListParagraph"/>
        <w:rPr>
          <w:color w:val="0070C0"/>
        </w:rPr>
      </w:pPr>
    </w:p>
    <w:p w14:paraId="0B6BEE12" w14:textId="5E2BC9FC" w:rsidR="00B462F4" w:rsidRDefault="00B462F4" w:rsidP="00850709">
      <w:pPr>
        <w:numPr>
          <w:ilvl w:val="0"/>
          <w:numId w:val="3"/>
        </w:numPr>
        <w:tabs>
          <w:tab w:val="left" w:pos="284"/>
        </w:tabs>
        <w:ind w:left="142" w:hanging="284"/>
        <w:jc w:val="both"/>
      </w:pPr>
      <w:r w:rsidRPr="00AA1FB0">
        <w:t xml:space="preserve">The Business Plan has been stress tested by varying interest rates on borrowing, rent </w:t>
      </w:r>
      <w:r>
        <w:t>policy changes</w:t>
      </w:r>
      <w:r w:rsidRPr="00AA1FB0">
        <w:t xml:space="preserve"> beyond April 2025, extending the </w:t>
      </w:r>
      <w:proofErr w:type="spellStart"/>
      <w:r w:rsidRPr="00AA1FB0">
        <w:t>BCHfL</w:t>
      </w:r>
      <w:proofErr w:type="spellEnd"/>
      <w:r w:rsidRPr="00AA1FB0">
        <w:t xml:space="preserve"> programme</w:t>
      </w:r>
      <w:r>
        <w:t xml:space="preserve"> and its costs and flexing achievement of cost reduction targets and minimum balances. The results</w:t>
      </w:r>
      <w:r w:rsidRPr="00C906DE">
        <w:t xml:space="preserve"> </w:t>
      </w:r>
      <w:r w:rsidRPr="00AA1FB0">
        <w:t>indicate</w:t>
      </w:r>
      <w:r>
        <w:t xml:space="preserve"> impacts on HRA resources as shown below:</w:t>
      </w:r>
    </w:p>
    <w:p w14:paraId="4698F198" w14:textId="77777777" w:rsidR="00B462F4" w:rsidRDefault="00B462F4" w:rsidP="00B462F4">
      <w:pPr>
        <w:pStyle w:val="ListParagraph"/>
      </w:pPr>
    </w:p>
    <w:p w14:paraId="687B6086" w14:textId="77777777" w:rsidR="00B462F4" w:rsidRDefault="00B462F4" w:rsidP="00B462F4">
      <w:pPr>
        <w:pStyle w:val="ListParagraph"/>
      </w:pPr>
    </w:p>
    <w:tbl>
      <w:tblPr>
        <w:tblStyle w:val="TableGrid"/>
        <w:tblW w:w="10490" w:type="dxa"/>
        <w:tblInd w:w="250" w:type="dxa"/>
        <w:tblLook w:val="04A0" w:firstRow="1" w:lastRow="0" w:firstColumn="1" w:lastColumn="0" w:noHBand="0" w:noVBand="1"/>
      </w:tblPr>
      <w:tblGrid>
        <w:gridCol w:w="7371"/>
        <w:gridCol w:w="1559"/>
        <w:gridCol w:w="1560"/>
      </w:tblGrid>
      <w:tr w:rsidR="00B462F4" w14:paraId="3C3C4153" w14:textId="77777777" w:rsidTr="0082610E">
        <w:tc>
          <w:tcPr>
            <w:tcW w:w="7371" w:type="dxa"/>
            <w:vAlign w:val="center"/>
          </w:tcPr>
          <w:p w14:paraId="6032E226" w14:textId="77777777" w:rsidR="00B462F4" w:rsidRPr="00922539" w:rsidRDefault="00B462F4" w:rsidP="0082610E">
            <w:pPr>
              <w:pStyle w:val="ListParagraph"/>
              <w:ind w:left="0"/>
              <w:rPr>
                <w:b/>
                <w:bCs/>
              </w:rPr>
            </w:pPr>
            <w:r w:rsidRPr="00922539">
              <w:rPr>
                <w:b/>
                <w:bCs/>
              </w:rPr>
              <w:t>Scenario</w:t>
            </w:r>
          </w:p>
        </w:tc>
        <w:tc>
          <w:tcPr>
            <w:tcW w:w="1559" w:type="dxa"/>
            <w:vAlign w:val="center"/>
          </w:tcPr>
          <w:p w14:paraId="1B1AB41C" w14:textId="77777777" w:rsidR="00B462F4" w:rsidRPr="00922539" w:rsidRDefault="00B462F4" w:rsidP="0082610E">
            <w:pPr>
              <w:pStyle w:val="ListParagraph"/>
              <w:ind w:left="0"/>
              <w:jc w:val="center"/>
              <w:rPr>
                <w:b/>
                <w:bCs/>
              </w:rPr>
            </w:pPr>
            <w:r w:rsidRPr="00922539">
              <w:rPr>
                <w:b/>
                <w:bCs/>
              </w:rPr>
              <w:t>Revenue account</w:t>
            </w:r>
          </w:p>
        </w:tc>
        <w:tc>
          <w:tcPr>
            <w:tcW w:w="1560" w:type="dxa"/>
            <w:vAlign w:val="center"/>
          </w:tcPr>
          <w:p w14:paraId="6A7C43A7" w14:textId="77777777" w:rsidR="00B462F4" w:rsidRPr="00922539" w:rsidRDefault="00B462F4" w:rsidP="0082610E">
            <w:pPr>
              <w:pStyle w:val="ListParagraph"/>
              <w:ind w:left="0"/>
              <w:jc w:val="center"/>
              <w:rPr>
                <w:b/>
                <w:bCs/>
              </w:rPr>
            </w:pPr>
            <w:r w:rsidRPr="00922539">
              <w:rPr>
                <w:b/>
                <w:bCs/>
              </w:rPr>
              <w:t>Capital account</w:t>
            </w:r>
          </w:p>
        </w:tc>
      </w:tr>
      <w:tr w:rsidR="00B462F4" w14:paraId="4D61233E" w14:textId="77777777" w:rsidTr="0082610E">
        <w:trPr>
          <w:trHeight w:val="1124"/>
        </w:trPr>
        <w:tc>
          <w:tcPr>
            <w:tcW w:w="7371" w:type="dxa"/>
            <w:vAlign w:val="center"/>
          </w:tcPr>
          <w:p w14:paraId="6EA2D6F4" w14:textId="77777777" w:rsidR="00B462F4" w:rsidRDefault="00B462F4" w:rsidP="0082610E">
            <w:pPr>
              <w:pStyle w:val="ListParagraph"/>
              <w:ind w:left="0"/>
            </w:pPr>
            <w:r w:rsidRPr="00922539">
              <w:rPr>
                <w:b/>
                <w:bCs/>
              </w:rPr>
              <w:t>Base case</w:t>
            </w:r>
            <w:r>
              <w:t xml:space="preserve"> – rent increases at CPI only from April 2025, borrowing 4.05% historic, 3% new, </w:t>
            </w:r>
            <w:proofErr w:type="spellStart"/>
            <w:r>
              <w:t>BCHfL</w:t>
            </w:r>
            <w:proofErr w:type="spellEnd"/>
            <w:r>
              <w:t xml:space="preserve"> as approved budget</w:t>
            </w:r>
          </w:p>
        </w:tc>
        <w:tc>
          <w:tcPr>
            <w:tcW w:w="1559" w:type="dxa"/>
            <w:vAlign w:val="center"/>
          </w:tcPr>
          <w:p w14:paraId="781D4B9E" w14:textId="77777777" w:rsidR="00B462F4" w:rsidRPr="00DB5E77" w:rsidRDefault="00B462F4" w:rsidP="0082610E">
            <w:pPr>
              <w:pStyle w:val="ListParagraph"/>
              <w:ind w:left="0"/>
              <w:jc w:val="center"/>
              <w:rPr>
                <w:sz w:val="22"/>
                <w:szCs w:val="22"/>
              </w:rPr>
            </w:pPr>
            <w:r w:rsidRPr="00DB5E77">
              <w:rPr>
                <w:sz w:val="22"/>
                <w:szCs w:val="22"/>
              </w:rPr>
              <w:t>Fully funded</w:t>
            </w:r>
          </w:p>
        </w:tc>
        <w:tc>
          <w:tcPr>
            <w:tcW w:w="1560" w:type="dxa"/>
            <w:vAlign w:val="center"/>
          </w:tcPr>
          <w:p w14:paraId="16EAEBB4" w14:textId="77777777" w:rsidR="00B462F4" w:rsidRPr="00DB5E77" w:rsidRDefault="00B462F4" w:rsidP="0082610E">
            <w:pPr>
              <w:pStyle w:val="ListParagraph"/>
              <w:ind w:left="0"/>
              <w:jc w:val="center"/>
              <w:rPr>
                <w:sz w:val="22"/>
                <w:szCs w:val="22"/>
              </w:rPr>
            </w:pPr>
            <w:r w:rsidRPr="00DB5E77">
              <w:rPr>
                <w:sz w:val="22"/>
                <w:szCs w:val="22"/>
              </w:rPr>
              <w:t>Fully funded</w:t>
            </w:r>
          </w:p>
        </w:tc>
      </w:tr>
      <w:tr w:rsidR="00B462F4" w14:paraId="271BCC12" w14:textId="77777777" w:rsidTr="0082610E">
        <w:trPr>
          <w:trHeight w:val="1268"/>
        </w:trPr>
        <w:tc>
          <w:tcPr>
            <w:tcW w:w="7371" w:type="dxa"/>
            <w:vAlign w:val="center"/>
          </w:tcPr>
          <w:p w14:paraId="2291ECF9" w14:textId="77777777" w:rsidR="00B462F4" w:rsidRDefault="00B462F4" w:rsidP="0082610E">
            <w:pPr>
              <w:pStyle w:val="ListParagraph"/>
              <w:ind w:left="0"/>
            </w:pPr>
            <w:r w:rsidRPr="00922539">
              <w:rPr>
                <w:b/>
                <w:bCs/>
              </w:rPr>
              <w:t>Base+ 20 new units</w:t>
            </w:r>
            <w:r>
              <w:rPr>
                <w:b/>
                <w:bCs/>
              </w:rPr>
              <w:t xml:space="preserve"> for Rough Sleepers “next steps”-</w:t>
            </w:r>
            <w:r>
              <w:t xml:space="preserve"> additional cost £4.2m in excess of </w:t>
            </w:r>
            <w:proofErr w:type="spellStart"/>
            <w:r>
              <w:t>BCHfL</w:t>
            </w:r>
            <w:proofErr w:type="spellEnd"/>
            <w:r>
              <w:t>, £120k grant each, at London Affordable Rent, support package to help persons into mainstream society</w:t>
            </w:r>
            <w:r w:rsidRPr="00747E38">
              <w:rPr>
                <w:szCs w:val="24"/>
              </w:rPr>
              <w:t xml:space="preserve"> </w:t>
            </w:r>
          </w:p>
        </w:tc>
        <w:tc>
          <w:tcPr>
            <w:tcW w:w="1559" w:type="dxa"/>
            <w:vAlign w:val="center"/>
          </w:tcPr>
          <w:p w14:paraId="533CD211" w14:textId="77777777" w:rsidR="00B462F4" w:rsidRPr="00DB5E77" w:rsidRDefault="00B462F4" w:rsidP="0082610E">
            <w:pPr>
              <w:pStyle w:val="ListParagraph"/>
              <w:ind w:left="0"/>
              <w:jc w:val="center"/>
              <w:rPr>
                <w:sz w:val="22"/>
                <w:szCs w:val="22"/>
              </w:rPr>
            </w:pPr>
            <w:r w:rsidRPr="00DB5E77">
              <w:rPr>
                <w:sz w:val="22"/>
                <w:szCs w:val="22"/>
              </w:rPr>
              <w:t>Fully funded</w:t>
            </w:r>
          </w:p>
        </w:tc>
        <w:tc>
          <w:tcPr>
            <w:tcW w:w="1560" w:type="dxa"/>
            <w:vAlign w:val="center"/>
          </w:tcPr>
          <w:p w14:paraId="5F53A633" w14:textId="77777777" w:rsidR="00B462F4" w:rsidRPr="00DB5E77" w:rsidRDefault="00B462F4" w:rsidP="0082610E">
            <w:pPr>
              <w:pStyle w:val="ListParagraph"/>
              <w:ind w:left="0"/>
              <w:jc w:val="center"/>
              <w:rPr>
                <w:sz w:val="22"/>
                <w:szCs w:val="22"/>
              </w:rPr>
            </w:pPr>
            <w:r w:rsidRPr="00DB5E77">
              <w:rPr>
                <w:sz w:val="22"/>
                <w:szCs w:val="22"/>
              </w:rPr>
              <w:t>Fully funded</w:t>
            </w:r>
          </w:p>
        </w:tc>
      </w:tr>
      <w:tr w:rsidR="00B462F4" w14:paraId="2D7F7BD6" w14:textId="77777777" w:rsidTr="0082610E">
        <w:trPr>
          <w:trHeight w:val="975"/>
        </w:trPr>
        <w:tc>
          <w:tcPr>
            <w:tcW w:w="7371" w:type="dxa"/>
            <w:vAlign w:val="center"/>
          </w:tcPr>
          <w:p w14:paraId="70708456" w14:textId="77777777" w:rsidR="00B462F4" w:rsidRDefault="00B462F4" w:rsidP="0082610E">
            <w:pPr>
              <w:pStyle w:val="ListParagraph"/>
              <w:ind w:left="0"/>
            </w:pPr>
            <w:r w:rsidRPr="00922539">
              <w:rPr>
                <w:b/>
                <w:bCs/>
              </w:rPr>
              <w:t xml:space="preserve">Base+ </w:t>
            </w:r>
            <w:proofErr w:type="spellStart"/>
            <w:r w:rsidRPr="00922539">
              <w:rPr>
                <w:b/>
                <w:bCs/>
              </w:rPr>
              <w:t>BCHfL</w:t>
            </w:r>
            <w:proofErr w:type="spellEnd"/>
            <w:r w:rsidRPr="00922539">
              <w:rPr>
                <w:b/>
                <w:bCs/>
              </w:rPr>
              <w:t xml:space="preserve"> cost pressures</w:t>
            </w:r>
            <w:r w:rsidRPr="0020459D">
              <w:rPr>
                <w:b/>
                <w:bCs/>
              </w:rPr>
              <w:t xml:space="preserve"> </w:t>
            </w:r>
            <w:r>
              <w:rPr>
                <w:b/>
                <w:bCs/>
              </w:rPr>
              <w:t>–</w:t>
            </w:r>
            <w:r>
              <w:t xml:space="preserve"> additional £3m costs not budgeted for identified on </w:t>
            </w:r>
            <w:proofErr w:type="spellStart"/>
            <w:r>
              <w:t>BCHfL</w:t>
            </w:r>
            <w:proofErr w:type="spellEnd"/>
            <w:r>
              <w:t xml:space="preserve"> programme</w:t>
            </w:r>
          </w:p>
        </w:tc>
        <w:tc>
          <w:tcPr>
            <w:tcW w:w="1559" w:type="dxa"/>
            <w:vAlign w:val="center"/>
          </w:tcPr>
          <w:p w14:paraId="2791C11E" w14:textId="77777777" w:rsidR="00B462F4" w:rsidRPr="00DB5E77" w:rsidRDefault="00B462F4" w:rsidP="0082610E">
            <w:pPr>
              <w:pStyle w:val="ListParagraph"/>
              <w:ind w:left="0"/>
              <w:jc w:val="center"/>
              <w:rPr>
                <w:sz w:val="22"/>
                <w:szCs w:val="22"/>
              </w:rPr>
            </w:pPr>
            <w:r w:rsidRPr="00DB5E77">
              <w:rPr>
                <w:sz w:val="22"/>
                <w:szCs w:val="22"/>
              </w:rPr>
              <w:t>Fully funded</w:t>
            </w:r>
          </w:p>
        </w:tc>
        <w:tc>
          <w:tcPr>
            <w:tcW w:w="1560" w:type="dxa"/>
            <w:vAlign w:val="center"/>
          </w:tcPr>
          <w:p w14:paraId="1DAA68B4" w14:textId="77777777" w:rsidR="00B462F4" w:rsidRPr="00DB5E77" w:rsidRDefault="00B462F4" w:rsidP="0082610E">
            <w:pPr>
              <w:pStyle w:val="ListParagraph"/>
              <w:ind w:left="0"/>
              <w:jc w:val="center"/>
              <w:rPr>
                <w:sz w:val="22"/>
                <w:szCs w:val="22"/>
              </w:rPr>
            </w:pPr>
            <w:r w:rsidRPr="00DB5E77">
              <w:rPr>
                <w:sz w:val="22"/>
                <w:szCs w:val="22"/>
              </w:rPr>
              <w:t>Fully funded</w:t>
            </w:r>
          </w:p>
        </w:tc>
      </w:tr>
      <w:tr w:rsidR="00B462F4" w14:paraId="50964742" w14:textId="77777777" w:rsidTr="0082610E">
        <w:trPr>
          <w:trHeight w:val="1002"/>
        </w:trPr>
        <w:tc>
          <w:tcPr>
            <w:tcW w:w="7371" w:type="dxa"/>
            <w:vAlign w:val="center"/>
          </w:tcPr>
          <w:p w14:paraId="0EBE8E4C" w14:textId="77777777" w:rsidR="00B462F4" w:rsidRDefault="00B462F4" w:rsidP="0082610E">
            <w:pPr>
              <w:pStyle w:val="ListParagraph"/>
              <w:ind w:left="0"/>
            </w:pPr>
            <w:r w:rsidRPr="00D2455F">
              <w:rPr>
                <w:b/>
                <w:bCs/>
              </w:rPr>
              <w:t>Base + increased borrowing rate</w:t>
            </w:r>
            <w:r>
              <w:rPr>
                <w:b/>
                <w:bCs/>
              </w:rPr>
              <w:t xml:space="preserve"> – </w:t>
            </w:r>
            <w:r>
              <w:t xml:space="preserve">new borrowing up 1% from 3% to 4% in annual ¼% increments </w:t>
            </w:r>
          </w:p>
        </w:tc>
        <w:tc>
          <w:tcPr>
            <w:tcW w:w="1559" w:type="dxa"/>
            <w:vAlign w:val="center"/>
          </w:tcPr>
          <w:p w14:paraId="3F65AD03" w14:textId="77777777" w:rsidR="00B462F4" w:rsidRPr="00DB5E77" w:rsidRDefault="00B462F4" w:rsidP="0082610E">
            <w:pPr>
              <w:pStyle w:val="ListParagraph"/>
              <w:ind w:left="0"/>
              <w:jc w:val="center"/>
              <w:rPr>
                <w:sz w:val="22"/>
                <w:szCs w:val="22"/>
              </w:rPr>
            </w:pPr>
            <w:r w:rsidRPr="00DB5E77">
              <w:rPr>
                <w:sz w:val="22"/>
                <w:szCs w:val="22"/>
              </w:rPr>
              <w:t>Fully funded</w:t>
            </w:r>
          </w:p>
        </w:tc>
        <w:tc>
          <w:tcPr>
            <w:tcW w:w="1560" w:type="dxa"/>
            <w:vAlign w:val="center"/>
          </w:tcPr>
          <w:p w14:paraId="3AAB16CB" w14:textId="77777777" w:rsidR="00B462F4" w:rsidRPr="00DB5E77" w:rsidRDefault="00B462F4" w:rsidP="0082610E">
            <w:pPr>
              <w:pStyle w:val="ListParagraph"/>
              <w:ind w:left="0"/>
              <w:jc w:val="center"/>
              <w:rPr>
                <w:sz w:val="22"/>
                <w:szCs w:val="22"/>
              </w:rPr>
            </w:pPr>
            <w:r w:rsidRPr="00DB5E77">
              <w:rPr>
                <w:sz w:val="22"/>
                <w:szCs w:val="22"/>
              </w:rPr>
              <w:t>Fully funded</w:t>
            </w:r>
          </w:p>
        </w:tc>
      </w:tr>
      <w:tr w:rsidR="00B462F4" w14:paraId="72BC0F3D" w14:textId="77777777" w:rsidTr="0082610E">
        <w:trPr>
          <w:trHeight w:val="845"/>
        </w:trPr>
        <w:tc>
          <w:tcPr>
            <w:tcW w:w="7371" w:type="dxa"/>
            <w:vAlign w:val="center"/>
          </w:tcPr>
          <w:p w14:paraId="30387CD4" w14:textId="77777777" w:rsidR="00B462F4" w:rsidRDefault="00B462F4" w:rsidP="0082610E">
            <w:pPr>
              <w:pStyle w:val="ListParagraph"/>
              <w:ind w:left="0"/>
            </w:pPr>
            <w:r w:rsidRPr="00D2455F">
              <w:rPr>
                <w:b/>
                <w:bCs/>
              </w:rPr>
              <w:t xml:space="preserve">Base + </w:t>
            </w:r>
            <w:r>
              <w:rPr>
                <w:b/>
                <w:bCs/>
              </w:rPr>
              <w:t>reduced</w:t>
            </w:r>
            <w:r w:rsidRPr="00D2455F">
              <w:rPr>
                <w:b/>
                <w:bCs/>
              </w:rPr>
              <w:t xml:space="preserve"> borrowing rate</w:t>
            </w:r>
            <w:r>
              <w:rPr>
                <w:b/>
                <w:bCs/>
              </w:rPr>
              <w:t xml:space="preserve"> –</w:t>
            </w:r>
            <w:r>
              <w:t xml:space="preserve"> new borrowing down from 3% to 2% from 2020-21, all years</w:t>
            </w:r>
          </w:p>
        </w:tc>
        <w:tc>
          <w:tcPr>
            <w:tcW w:w="1559" w:type="dxa"/>
            <w:vAlign w:val="center"/>
          </w:tcPr>
          <w:p w14:paraId="0219A04B" w14:textId="77777777" w:rsidR="00B462F4" w:rsidRPr="00DB5E77" w:rsidRDefault="00B462F4" w:rsidP="0082610E">
            <w:pPr>
              <w:pStyle w:val="ListParagraph"/>
              <w:ind w:left="0"/>
              <w:jc w:val="center"/>
              <w:rPr>
                <w:sz w:val="22"/>
                <w:szCs w:val="22"/>
              </w:rPr>
            </w:pPr>
            <w:r w:rsidRPr="00DB5E77">
              <w:rPr>
                <w:sz w:val="22"/>
                <w:szCs w:val="22"/>
              </w:rPr>
              <w:t xml:space="preserve">Fully funded </w:t>
            </w:r>
          </w:p>
        </w:tc>
        <w:tc>
          <w:tcPr>
            <w:tcW w:w="1560" w:type="dxa"/>
            <w:vAlign w:val="center"/>
          </w:tcPr>
          <w:p w14:paraId="2C271778" w14:textId="77777777" w:rsidR="00B462F4" w:rsidRPr="00DB5E77" w:rsidRDefault="00B462F4" w:rsidP="0082610E">
            <w:pPr>
              <w:pStyle w:val="ListParagraph"/>
              <w:ind w:left="0"/>
              <w:jc w:val="center"/>
              <w:rPr>
                <w:sz w:val="22"/>
                <w:szCs w:val="22"/>
              </w:rPr>
            </w:pPr>
            <w:r w:rsidRPr="00DB5E77">
              <w:rPr>
                <w:sz w:val="22"/>
                <w:szCs w:val="22"/>
              </w:rPr>
              <w:t xml:space="preserve">Fully funded </w:t>
            </w:r>
          </w:p>
        </w:tc>
      </w:tr>
      <w:tr w:rsidR="00B462F4" w14:paraId="483459AD" w14:textId="77777777" w:rsidTr="0082610E">
        <w:trPr>
          <w:trHeight w:val="844"/>
        </w:trPr>
        <w:tc>
          <w:tcPr>
            <w:tcW w:w="7371" w:type="dxa"/>
            <w:vAlign w:val="center"/>
          </w:tcPr>
          <w:p w14:paraId="33A1944B" w14:textId="77777777" w:rsidR="00B462F4" w:rsidRDefault="00B462F4" w:rsidP="0082610E">
            <w:pPr>
              <w:pStyle w:val="ListParagraph"/>
              <w:ind w:left="0"/>
            </w:pPr>
            <w:r w:rsidRPr="00D2455F">
              <w:rPr>
                <w:b/>
                <w:bCs/>
              </w:rPr>
              <w:t>Base + cost</w:t>
            </w:r>
            <w:r>
              <w:rPr>
                <w:b/>
                <w:bCs/>
              </w:rPr>
              <w:t xml:space="preserve"> </w:t>
            </w:r>
            <w:r w:rsidRPr="00D2455F">
              <w:rPr>
                <w:b/>
                <w:bCs/>
              </w:rPr>
              <w:t>reductions delayed</w:t>
            </w:r>
            <w:r>
              <w:rPr>
                <w:b/>
                <w:bCs/>
              </w:rPr>
              <w:t xml:space="preserve"> –</w:t>
            </w:r>
            <w:r>
              <w:t xml:space="preserve"> final £600k of £1.9m cost reductions delayed 12 months</w:t>
            </w:r>
          </w:p>
        </w:tc>
        <w:tc>
          <w:tcPr>
            <w:tcW w:w="1559" w:type="dxa"/>
          </w:tcPr>
          <w:p w14:paraId="58C2C1E8" w14:textId="77777777" w:rsidR="00B462F4" w:rsidRDefault="00B462F4" w:rsidP="0082610E">
            <w:pPr>
              <w:pStyle w:val="ListParagraph"/>
              <w:ind w:left="0"/>
              <w:jc w:val="center"/>
              <w:rPr>
                <w:sz w:val="22"/>
                <w:szCs w:val="22"/>
              </w:rPr>
            </w:pPr>
          </w:p>
          <w:p w14:paraId="4295D81E" w14:textId="77777777" w:rsidR="00B462F4" w:rsidRPr="00DB5E77" w:rsidRDefault="00B462F4" w:rsidP="0082610E">
            <w:pPr>
              <w:pStyle w:val="ListParagraph"/>
              <w:ind w:left="0"/>
              <w:jc w:val="center"/>
              <w:rPr>
                <w:sz w:val="22"/>
                <w:szCs w:val="22"/>
              </w:rPr>
            </w:pPr>
            <w:r w:rsidRPr="00DB5E77">
              <w:rPr>
                <w:sz w:val="22"/>
                <w:szCs w:val="22"/>
              </w:rPr>
              <w:t xml:space="preserve">Fully funded </w:t>
            </w:r>
          </w:p>
        </w:tc>
        <w:tc>
          <w:tcPr>
            <w:tcW w:w="1560" w:type="dxa"/>
          </w:tcPr>
          <w:p w14:paraId="0990D3E3" w14:textId="77777777" w:rsidR="00B462F4" w:rsidRDefault="00B462F4" w:rsidP="0082610E">
            <w:pPr>
              <w:pStyle w:val="ListParagraph"/>
              <w:ind w:left="0"/>
              <w:jc w:val="center"/>
              <w:rPr>
                <w:sz w:val="22"/>
                <w:szCs w:val="22"/>
              </w:rPr>
            </w:pPr>
          </w:p>
          <w:p w14:paraId="141D6EE7" w14:textId="77777777" w:rsidR="00B462F4" w:rsidRPr="00DB5E77" w:rsidRDefault="00B462F4" w:rsidP="0082610E">
            <w:pPr>
              <w:pStyle w:val="ListParagraph"/>
              <w:ind w:left="0"/>
              <w:jc w:val="center"/>
              <w:rPr>
                <w:sz w:val="22"/>
                <w:szCs w:val="22"/>
              </w:rPr>
            </w:pPr>
            <w:r w:rsidRPr="00DB5E77">
              <w:rPr>
                <w:sz w:val="22"/>
                <w:szCs w:val="22"/>
              </w:rPr>
              <w:t>Fully funded</w:t>
            </w:r>
          </w:p>
        </w:tc>
      </w:tr>
      <w:tr w:rsidR="00B462F4" w14:paraId="163036CD" w14:textId="77777777" w:rsidTr="0082610E">
        <w:trPr>
          <w:trHeight w:val="983"/>
        </w:trPr>
        <w:tc>
          <w:tcPr>
            <w:tcW w:w="7371" w:type="dxa"/>
            <w:vAlign w:val="center"/>
          </w:tcPr>
          <w:p w14:paraId="1B611FCF" w14:textId="77777777" w:rsidR="00B462F4" w:rsidRDefault="00B462F4" w:rsidP="0082610E">
            <w:pPr>
              <w:pStyle w:val="ListParagraph"/>
              <w:ind w:left="0"/>
            </w:pPr>
            <w:r w:rsidRPr="00D2455F">
              <w:rPr>
                <w:b/>
                <w:bCs/>
              </w:rPr>
              <w:t>Base + lower revenue balances</w:t>
            </w:r>
            <w:r>
              <w:t>, thresh hold for minimum revenue reserves reduced from 7% to 5% x gross income</w:t>
            </w:r>
          </w:p>
        </w:tc>
        <w:tc>
          <w:tcPr>
            <w:tcW w:w="1559" w:type="dxa"/>
          </w:tcPr>
          <w:p w14:paraId="780E197E" w14:textId="77777777" w:rsidR="00B462F4" w:rsidRDefault="00B462F4" w:rsidP="0082610E">
            <w:pPr>
              <w:pStyle w:val="ListParagraph"/>
              <w:ind w:left="0"/>
              <w:jc w:val="center"/>
              <w:rPr>
                <w:sz w:val="22"/>
                <w:szCs w:val="22"/>
              </w:rPr>
            </w:pPr>
          </w:p>
          <w:p w14:paraId="4FF4FA0C" w14:textId="77777777" w:rsidR="00B462F4" w:rsidRPr="0061518F" w:rsidRDefault="00B462F4" w:rsidP="0082610E">
            <w:pPr>
              <w:pStyle w:val="ListParagraph"/>
              <w:ind w:left="0"/>
              <w:jc w:val="center"/>
              <w:rPr>
                <w:sz w:val="22"/>
                <w:szCs w:val="22"/>
              </w:rPr>
            </w:pPr>
            <w:r w:rsidRPr="0061518F">
              <w:rPr>
                <w:sz w:val="22"/>
                <w:szCs w:val="22"/>
              </w:rPr>
              <w:t xml:space="preserve">Fully funded </w:t>
            </w:r>
          </w:p>
        </w:tc>
        <w:tc>
          <w:tcPr>
            <w:tcW w:w="1560" w:type="dxa"/>
          </w:tcPr>
          <w:p w14:paraId="04298132" w14:textId="77777777" w:rsidR="00B462F4" w:rsidRDefault="00B462F4" w:rsidP="0082610E">
            <w:pPr>
              <w:pStyle w:val="ListParagraph"/>
              <w:ind w:left="0"/>
              <w:jc w:val="center"/>
              <w:rPr>
                <w:sz w:val="22"/>
                <w:szCs w:val="22"/>
              </w:rPr>
            </w:pPr>
          </w:p>
          <w:p w14:paraId="474DFEAE" w14:textId="77777777" w:rsidR="00B462F4" w:rsidRPr="0061518F" w:rsidRDefault="00B462F4" w:rsidP="0082610E">
            <w:pPr>
              <w:pStyle w:val="ListParagraph"/>
              <w:ind w:left="0"/>
              <w:jc w:val="center"/>
              <w:rPr>
                <w:sz w:val="22"/>
                <w:szCs w:val="22"/>
              </w:rPr>
            </w:pPr>
            <w:r w:rsidRPr="0061518F">
              <w:rPr>
                <w:sz w:val="22"/>
                <w:szCs w:val="22"/>
              </w:rPr>
              <w:t>Fully funded</w:t>
            </w:r>
          </w:p>
        </w:tc>
      </w:tr>
      <w:tr w:rsidR="00B462F4" w14:paraId="0DC247C4" w14:textId="77777777" w:rsidTr="0082610E">
        <w:trPr>
          <w:trHeight w:val="983"/>
        </w:trPr>
        <w:tc>
          <w:tcPr>
            <w:tcW w:w="7371" w:type="dxa"/>
            <w:vAlign w:val="center"/>
          </w:tcPr>
          <w:p w14:paraId="52B304ED" w14:textId="1B23B458" w:rsidR="00B462F4" w:rsidRPr="000A6ACF" w:rsidRDefault="00B462F4" w:rsidP="0082610E">
            <w:pPr>
              <w:pStyle w:val="ListParagraph"/>
              <w:ind w:left="0"/>
            </w:pPr>
            <w:r>
              <w:rPr>
                <w:b/>
                <w:bCs/>
              </w:rPr>
              <w:t xml:space="preserve">Base +  increase </w:t>
            </w:r>
            <w:r w:rsidR="00BC7C19">
              <w:rPr>
                <w:b/>
                <w:bCs/>
              </w:rPr>
              <w:t>in build</w:t>
            </w:r>
            <w:r>
              <w:rPr>
                <w:b/>
                <w:bCs/>
              </w:rPr>
              <w:t xml:space="preserve"> cost,</w:t>
            </w:r>
            <w:r w:rsidRPr="000A6ACF">
              <w:t xml:space="preserve"> increase of cost of remaining units increased by </w:t>
            </w:r>
            <w:r w:rsidR="00BC7C19">
              <w:t>25%</w:t>
            </w:r>
            <w:r w:rsidRPr="000A6ACF">
              <w:t xml:space="preserve"> to reflect changes in</w:t>
            </w:r>
            <w:r>
              <w:t xml:space="preserve"> </w:t>
            </w:r>
            <w:r w:rsidRPr="000A6ACF">
              <w:t>market and macro-economic environment</w:t>
            </w:r>
          </w:p>
        </w:tc>
        <w:tc>
          <w:tcPr>
            <w:tcW w:w="1559" w:type="dxa"/>
          </w:tcPr>
          <w:p w14:paraId="38D0E99D" w14:textId="77777777" w:rsidR="00B462F4" w:rsidRDefault="00B462F4" w:rsidP="0082610E">
            <w:pPr>
              <w:pStyle w:val="ListParagraph"/>
              <w:ind w:left="0"/>
              <w:jc w:val="center"/>
              <w:rPr>
                <w:sz w:val="22"/>
                <w:szCs w:val="22"/>
              </w:rPr>
            </w:pPr>
            <w:r>
              <w:rPr>
                <w:sz w:val="22"/>
                <w:szCs w:val="22"/>
              </w:rPr>
              <w:t xml:space="preserve">Fully funded to </w:t>
            </w:r>
            <w:proofErr w:type="spellStart"/>
            <w:r>
              <w:rPr>
                <w:sz w:val="22"/>
                <w:szCs w:val="22"/>
              </w:rPr>
              <w:t>yr</w:t>
            </w:r>
            <w:proofErr w:type="spellEnd"/>
            <w:r>
              <w:rPr>
                <w:sz w:val="22"/>
                <w:szCs w:val="22"/>
              </w:rPr>
              <w:t xml:space="preserve"> 27, breach </w:t>
            </w:r>
            <w:proofErr w:type="spellStart"/>
            <w:r>
              <w:rPr>
                <w:sz w:val="22"/>
                <w:szCs w:val="22"/>
              </w:rPr>
              <w:t>yr</w:t>
            </w:r>
            <w:proofErr w:type="spellEnd"/>
            <w:r>
              <w:rPr>
                <w:sz w:val="22"/>
                <w:szCs w:val="22"/>
              </w:rPr>
              <w:t xml:space="preserve"> 28, exhausted </w:t>
            </w:r>
            <w:proofErr w:type="spellStart"/>
            <w:r>
              <w:rPr>
                <w:sz w:val="22"/>
                <w:szCs w:val="22"/>
              </w:rPr>
              <w:t>yr</w:t>
            </w:r>
            <w:proofErr w:type="spellEnd"/>
            <w:r>
              <w:rPr>
                <w:sz w:val="22"/>
                <w:szCs w:val="22"/>
              </w:rPr>
              <w:t xml:space="preserve"> 30</w:t>
            </w:r>
          </w:p>
        </w:tc>
        <w:tc>
          <w:tcPr>
            <w:tcW w:w="1560" w:type="dxa"/>
          </w:tcPr>
          <w:p w14:paraId="08A556FE" w14:textId="77777777" w:rsidR="00BC7C19" w:rsidRDefault="00BC7C19" w:rsidP="0082610E">
            <w:pPr>
              <w:pStyle w:val="ListParagraph"/>
              <w:ind w:left="0"/>
              <w:jc w:val="center"/>
              <w:rPr>
                <w:sz w:val="22"/>
                <w:szCs w:val="22"/>
              </w:rPr>
            </w:pPr>
          </w:p>
          <w:p w14:paraId="0CD4B227" w14:textId="77777777" w:rsidR="00BC7C19" w:rsidRDefault="00BC7C19" w:rsidP="0082610E">
            <w:pPr>
              <w:pStyle w:val="ListParagraph"/>
              <w:ind w:left="0"/>
              <w:jc w:val="center"/>
              <w:rPr>
                <w:sz w:val="22"/>
                <w:szCs w:val="22"/>
              </w:rPr>
            </w:pPr>
          </w:p>
          <w:p w14:paraId="419F0CFE" w14:textId="4A07159B" w:rsidR="00B462F4" w:rsidRDefault="00BC7C19" w:rsidP="0082610E">
            <w:pPr>
              <w:pStyle w:val="ListParagraph"/>
              <w:ind w:left="0"/>
              <w:jc w:val="center"/>
              <w:rPr>
                <w:sz w:val="22"/>
                <w:szCs w:val="22"/>
              </w:rPr>
            </w:pPr>
            <w:r>
              <w:rPr>
                <w:sz w:val="22"/>
                <w:szCs w:val="22"/>
              </w:rPr>
              <w:t>Fully Funded</w:t>
            </w:r>
          </w:p>
        </w:tc>
      </w:tr>
    </w:tbl>
    <w:p w14:paraId="7147D55C" w14:textId="77777777" w:rsidR="00B462F4" w:rsidRDefault="00B462F4" w:rsidP="00B462F4">
      <w:pPr>
        <w:pStyle w:val="ListParagraph"/>
      </w:pPr>
    </w:p>
    <w:p w14:paraId="6BD11C3C" w14:textId="3DBFFD0A" w:rsidR="00B462F4" w:rsidRDefault="00B462F4" w:rsidP="00850709">
      <w:pPr>
        <w:numPr>
          <w:ilvl w:val="0"/>
          <w:numId w:val="3"/>
        </w:numPr>
        <w:tabs>
          <w:tab w:val="left" w:pos="284"/>
        </w:tabs>
        <w:ind w:left="142" w:hanging="284"/>
        <w:jc w:val="both"/>
      </w:pPr>
      <w:r>
        <w:t xml:space="preserve">All scenarios are over a </w:t>
      </w:r>
      <w:r w:rsidR="0082610E">
        <w:t>30-year</w:t>
      </w:r>
      <w:r>
        <w:t xml:space="preserve"> time horizon. The first seven assume the programme will be delivered </w:t>
      </w:r>
      <w:r w:rsidR="0082610E">
        <w:t>based on</w:t>
      </w:r>
      <w:r>
        <w:t xml:space="preserve"> the original cost estimates approved by the Council 28</w:t>
      </w:r>
      <w:r w:rsidRPr="000A6ACF">
        <w:rPr>
          <w:vertAlign w:val="superscript"/>
        </w:rPr>
        <w:t>th</w:t>
      </w:r>
      <w:r>
        <w:t xml:space="preserve"> February 2019 and can be accommodated. The final scenario assumes an increase in build costs of 25% for the remaining units which are exposed to cost increases (i.e. not on site or at tender stage). This scenario suggests revenue reserves are at risk of breaching minimum thresholds at year 28 then becoming exhausted at year 30.</w:t>
      </w:r>
    </w:p>
    <w:p w14:paraId="503526B4" w14:textId="77777777" w:rsidR="00B462F4" w:rsidRDefault="00B462F4" w:rsidP="00B462F4">
      <w:pPr>
        <w:tabs>
          <w:tab w:val="left" w:pos="284"/>
        </w:tabs>
        <w:ind w:left="142"/>
        <w:jc w:val="both"/>
      </w:pPr>
    </w:p>
    <w:p w14:paraId="221A9970" w14:textId="0AB368EC" w:rsidR="00B462F4" w:rsidRPr="006D5E94" w:rsidRDefault="0082610E" w:rsidP="00850709">
      <w:pPr>
        <w:numPr>
          <w:ilvl w:val="0"/>
          <w:numId w:val="3"/>
        </w:numPr>
        <w:tabs>
          <w:tab w:val="left" w:pos="284"/>
        </w:tabs>
        <w:ind w:left="142" w:hanging="284"/>
        <w:jc w:val="both"/>
      </w:pPr>
      <w:r>
        <w:t>Most of</w:t>
      </w:r>
      <w:r w:rsidR="00B462F4">
        <w:t xml:space="preserve"> the programme is currently at design stage therefore actual costs are still to be firmed up as build contracts are tendered taking account of ongoing economic impacts from Covid-19 and Brexit. Additionally, the current </w:t>
      </w:r>
      <w:proofErr w:type="spellStart"/>
      <w:r w:rsidR="00B462F4">
        <w:t>BCHfL</w:t>
      </w:r>
      <w:proofErr w:type="spellEnd"/>
      <w:r w:rsidR="00B462F4">
        <w:t xml:space="preserve"> programme made assumptions about the cost of delivering Phase 2 of Grange Farm and did not include the costs of delivering Phase 3. A report on the Procurement strategy and cost provision for Grange Farm Phase 2 and 3 will be considered by Cabinet in November/December 2020 and the HRA business plan will need to be reviewed at this point to assess the impact of the additional costs of completing Grange Farm and other schemes. Given the </w:t>
      </w:r>
      <w:r>
        <w:t>long-time</w:t>
      </w:r>
      <w:r w:rsidR="00B462F4">
        <w:t xml:space="preserve"> horizons involved this will form part of future updates in accordance with the Council’s risk management strategy.</w:t>
      </w:r>
      <w:r w:rsidR="00B462F4" w:rsidRPr="002868FC">
        <w:rPr>
          <w:highlight w:val="yellow"/>
        </w:rPr>
        <w:t xml:space="preserve"> </w:t>
      </w:r>
    </w:p>
    <w:p w14:paraId="44FED84F" w14:textId="77777777" w:rsidR="00415742" w:rsidRDefault="00415742" w:rsidP="00B462F4">
      <w:pPr>
        <w:pStyle w:val="Heading3"/>
        <w:spacing w:before="480" w:after="240"/>
      </w:pPr>
    </w:p>
    <w:p w14:paraId="0C6865F6" w14:textId="20B7C49F" w:rsidR="002A3FEF" w:rsidRDefault="002A3FEF" w:rsidP="00B462F4">
      <w:pPr>
        <w:pStyle w:val="Heading3"/>
        <w:spacing w:before="480" w:after="240"/>
      </w:pPr>
      <w:r>
        <w:lastRenderedPageBreak/>
        <w:t xml:space="preserve">Procurement Implications </w:t>
      </w:r>
    </w:p>
    <w:p w14:paraId="1442A81F" w14:textId="6771D2AD" w:rsidR="00B462F4" w:rsidRDefault="00B462F4" w:rsidP="00B462F4">
      <w:r w:rsidRPr="003D251D">
        <w:rPr>
          <w:rFonts w:cs="Arial"/>
          <w:szCs w:val="24"/>
        </w:rPr>
        <w:t>The recommendation</w:t>
      </w:r>
      <w:r>
        <w:rPr>
          <w:rFonts w:cs="Arial"/>
          <w:szCs w:val="24"/>
        </w:rPr>
        <w:t xml:space="preserve"> </w:t>
      </w:r>
      <w:r w:rsidRPr="003D251D">
        <w:t>of this report has no direct or immediate procurement implications however any procurement arising from the recommendation will be required to follow internal governance process, comply with the Public Contract Regulations 2015 and the Council’s Contract Procedure Rules. The procurement team will provide professional advice and support when required to do so</w:t>
      </w:r>
    </w:p>
    <w:p w14:paraId="35B904E4" w14:textId="1DFCC21D" w:rsidR="00333FAA" w:rsidRDefault="00333FAA" w:rsidP="00A1211C">
      <w:pPr>
        <w:pStyle w:val="Heading3"/>
        <w:spacing w:before="480" w:after="240"/>
      </w:pPr>
      <w:r>
        <w:t>Legal Implications</w:t>
      </w:r>
    </w:p>
    <w:p w14:paraId="4B51FFA7" w14:textId="77777777" w:rsidR="00B462F4" w:rsidRDefault="00B462F4" w:rsidP="00B462F4">
      <w:pPr>
        <w:tabs>
          <w:tab w:val="left" w:pos="284"/>
        </w:tabs>
        <w:jc w:val="both"/>
        <w:rPr>
          <w:szCs w:val="24"/>
        </w:rPr>
      </w:pPr>
      <w:r w:rsidRPr="008B5CD0">
        <w:rPr>
          <w:szCs w:val="24"/>
        </w:rPr>
        <w:t xml:space="preserve">Council, as a </w:t>
      </w:r>
      <w:r>
        <w:rPr>
          <w:szCs w:val="24"/>
        </w:rPr>
        <w:t>L</w:t>
      </w:r>
      <w:r w:rsidRPr="008B5CD0">
        <w:rPr>
          <w:szCs w:val="24"/>
        </w:rPr>
        <w:t xml:space="preserve">ocal </w:t>
      </w:r>
      <w:r>
        <w:rPr>
          <w:szCs w:val="24"/>
        </w:rPr>
        <w:t>H</w:t>
      </w:r>
      <w:r w:rsidRPr="008B5CD0">
        <w:rPr>
          <w:szCs w:val="24"/>
        </w:rPr>
        <w:t xml:space="preserve">ousing </w:t>
      </w:r>
      <w:r>
        <w:rPr>
          <w:szCs w:val="24"/>
        </w:rPr>
        <w:t>A</w:t>
      </w:r>
      <w:r w:rsidRPr="008B5CD0">
        <w:rPr>
          <w:szCs w:val="24"/>
        </w:rPr>
        <w:t xml:space="preserve">uthority, must maintain a </w:t>
      </w:r>
      <w:r>
        <w:rPr>
          <w:szCs w:val="24"/>
        </w:rPr>
        <w:t>H</w:t>
      </w:r>
      <w:r w:rsidRPr="008B5CD0">
        <w:rPr>
          <w:szCs w:val="24"/>
        </w:rPr>
        <w:t xml:space="preserve">ousing </w:t>
      </w:r>
      <w:r>
        <w:rPr>
          <w:szCs w:val="24"/>
        </w:rPr>
        <w:t>R</w:t>
      </w:r>
      <w:r w:rsidRPr="008B5CD0">
        <w:rPr>
          <w:szCs w:val="24"/>
        </w:rPr>
        <w:t xml:space="preserve">evenue </w:t>
      </w:r>
      <w:r>
        <w:rPr>
          <w:szCs w:val="24"/>
        </w:rPr>
        <w:t>A</w:t>
      </w:r>
      <w:r w:rsidRPr="008B5CD0">
        <w:rPr>
          <w:szCs w:val="24"/>
        </w:rPr>
        <w:t xml:space="preserve">ccount (HRA) in accordance with s74 of the Local Government </w:t>
      </w:r>
      <w:r>
        <w:rPr>
          <w:szCs w:val="24"/>
        </w:rPr>
        <w:t xml:space="preserve">&amp; Housing Act 1989 (the “1989 Act”). The </w:t>
      </w:r>
      <w:r w:rsidRPr="008B5CD0">
        <w:rPr>
          <w:szCs w:val="24"/>
        </w:rPr>
        <w:t>HRA must include sums falling to be credited or debited in accordance with the category of properties listed within s74(1)</w:t>
      </w:r>
      <w:r>
        <w:rPr>
          <w:szCs w:val="24"/>
        </w:rPr>
        <w:t xml:space="preserve"> of the 1989 Act</w:t>
      </w:r>
      <w:r w:rsidRPr="008B5CD0">
        <w:rPr>
          <w:szCs w:val="24"/>
        </w:rPr>
        <w:t xml:space="preserve">, which consists primarily of </w:t>
      </w:r>
      <w:r>
        <w:rPr>
          <w:szCs w:val="24"/>
        </w:rPr>
        <w:t>Council housing stock.</w:t>
      </w:r>
      <w:r w:rsidRPr="008B5CD0">
        <w:rPr>
          <w:szCs w:val="24"/>
        </w:rPr>
        <w:t xml:space="preserve"> </w:t>
      </w:r>
      <w:r>
        <w:rPr>
          <w:szCs w:val="24"/>
        </w:rPr>
        <w:t xml:space="preserve">The </w:t>
      </w:r>
      <w:r w:rsidRPr="008B5CD0">
        <w:rPr>
          <w:szCs w:val="24"/>
        </w:rPr>
        <w:t xml:space="preserve">HRA must include any capital expenditure on housing stock which a </w:t>
      </w:r>
      <w:r>
        <w:rPr>
          <w:szCs w:val="24"/>
        </w:rPr>
        <w:t>L</w:t>
      </w:r>
      <w:r w:rsidRPr="008B5CD0">
        <w:rPr>
          <w:szCs w:val="24"/>
        </w:rPr>
        <w:t xml:space="preserve">ocal </w:t>
      </w:r>
      <w:r>
        <w:rPr>
          <w:szCs w:val="24"/>
        </w:rPr>
        <w:t>A</w:t>
      </w:r>
      <w:r w:rsidRPr="008B5CD0">
        <w:rPr>
          <w:szCs w:val="24"/>
        </w:rPr>
        <w:t xml:space="preserve">uthority has decided to charge to revenue.  Save in accordance with a direction of the Secretary of State, sums may not be transferred between </w:t>
      </w:r>
      <w:r>
        <w:rPr>
          <w:szCs w:val="24"/>
        </w:rPr>
        <w:t xml:space="preserve">the </w:t>
      </w:r>
      <w:r w:rsidRPr="008B5CD0">
        <w:rPr>
          <w:szCs w:val="24"/>
        </w:rPr>
        <w:t xml:space="preserve">HRA and </w:t>
      </w:r>
      <w:r>
        <w:rPr>
          <w:szCs w:val="24"/>
        </w:rPr>
        <w:t>the G</w:t>
      </w:r>
      <w:r w:rsidRPr="008B5CD0">
        <w:rPr>
          <w:szCs w:val="24"/>
        </w:rPr>
        <w:t xml:space="preserve">eneral </w:t>
      </w:r>
      <w:r>
        <w:rPr>
          <w:szCs w:val="24"/>
        </w:rPr>
        <w:t>F</w:t>
      </w:r>
      <w:r w:rsidRPr="008B5CD0">
        <w:rPr>
          <w:szCs w:val="24"/>
        </w:rPr>
        <w:t>und, therefore</w:t>
      </w:r>
      <w:r>
        <w:rPr>
          <w:szCs w:val="24"/>
        </w:rPr>
        <w:t xml:space="preserve"> the</w:t>
      </w:r>
      <w:r w:rsidRPr="008B5CD0">
        <w:rPr>
          <w:szCs w:val="24"/>
        </w:rPr>
        <w:t xml:space="preserve"> HRA is ring-fenced and cannot be used to subsidise a budget deficit within</w:t>
      </w:r>
      <w:r>
        <w:rPr>
          <w:szCs w:val="24"/>
        </w:rPr>
        <w:t xml:space="preserve"> the</w:t>
      </w:r>
      <w:r w:rsidRPr="008B5CD0">
        <w:rPr>
          <w:szCs w:val="24"/>
        </w:rPr>
        <w:t xml:space="preserve"> </w:t>
      </w:r>
      <w:r>
        <w:rPr>
          <w:szCs w:val="24"/>
        </w:rPr>
        <w:t>G</w:t>
      </w:r>
      <w:r w:rsidRPr="008B5CD0">
        <w:rPr>
          <w:szCs w:val="24"/>
        </w:rPr>
        <w:t xml:space="preserve">eneral </w:t>
      </w:r>
      <w:r>
        <w:rPr>
          <w:szCs w:val="24"/>
        </w:rPr>
        <w:t>F</w:t>
      </w:r>
      <w:r w:rsidRPr="008B5CD0">
        <w:rPr>
          <w:szCs w:val="24"/>
        </w:rPr>
        <w:t>und, neither can</w:t>
      </w:r>
      <w:r>
        <w:rPr>
          <w:szCs w:val="24"/>
        </w:rPr>
        <w:t xml:space="preserve"> the</w:t>
      </w:r>
      <w:r w:rsidRPr="008B5CD0">
        <w:rPr>
          <w:szCs w:val="24"/>
        </w:rPr>
        <w:t xml:space="preserve"> </w:t>
      </w:r>
      <w:r>
        <w:rPr>
          <w:szCs w:val="24"/>
        </w:rPr>
        <w:t>G</w:t>
      </w:r>
      <w:r w:rsidRPr="008B5CD0">
        <w:rPr>
          <w:szCs w:val="24"/>
        </w:rPr>
        <w:t xml:space="preserve">eneral </w:t>
      </w:r>
      <w:r>
        <w:rPr>
          <w:szCs w:val="24"/>
        </w:rPr>
        <w:t>F</w:t>
      </w:r>
      <w:r w:rsidRPr="008B5CD0">
        <w:rPr>
          <w:szCs w:val="24"/>
        </w:rPr>
        <w:t>und be used to subsidise a budget deficit in</w:t>
      </w:r>
      <w:r>
        <w:rPr>
          <w:szCs w:val="24"/>
        </w:rPr>
        <w:t xml:space="preserve"> the</w:t>
      </w:r>
      <w:r w:rsidRPr="008B5CD0">
        <w:rPr>
          <w:szCs w:val="24"/>
        </w:rPr>
        <w:t xml:space="preserve"> HRA.  </w:t>
      </w:r>
      <w:r>
        <w:rPr>
          <w:szCs w:val="24"/>
        </w:rPr>
        <w:t xml:space="preserve">Section </w:t>
      </w:r>
      <w:r w:rsidRPr="008B5CD0">
        <w:rPr>
          <w:szCs w:val="24"/>
        </w:rPr>
        <w:t>76 of</w:t>
      </w:r>
      <w:r>
        <w:rPr>
          <w:szCs w:val="24"/>
        </w:rPr>
        <w:t xml:space="preserve"> the</w:t>
      </w:r>
      <w:r w:rsidRPr="008B5CD0">
        <w:rPr>
          <w:szCs w:val="24"/>
        </w:rPr>
        <w:t xml:space="preserve"> 1989 Act requires </w:t>
      </w:r>
      <w:r>
        <w:rPr>
          <w:szCs w:val="24"/>
        </w:rPr>
        <w:t>L</w:t>
      </w:r>
      <w:r w:rsidRPr="008B5CD0">
        <w:rPr>
          <w:szCs w:val="24"/>
        </w:rPr>
        <w:t xml:space="preserve">ocal </w:t>
      </w:r>
      <w:r>
        <w:rPr>
          <w:szCs w:val="24"/>
        </w:rPr>
        <w:t>A</w:t>
      </w:r>
      <w:r w:rsidRPr="008B5CD0">
        <w:rPr>
          <w:szCs w:val="24"/>
        </w:rPr>
        <w:t xml:space="preserve">uthorities to formulate and implement proposals to secure </w:t>
      </w:r>
      <w:r>
        <w:rPr>
          <w:szCs w:val="24"/>
        </w:rPr>
        <w:t xml:space="preserve">that the </w:t>
      </w:r>
      <w:r w:rsidRPr="008B5CD0">
        <w:rPr>
          <w:szCs w:val="24"/>
        </w:rPr>
        <w:t xml:space="preserve">HRA for each financial year does not show a debit balance.  If a debit occurs, this must be carried forward to </w:t>
      </w:r>
      <w:r>
        <w:rPr>
          <w:szCs w:val="24"/>
        </w:rPr>
        <w:t xml:space="preserve">the </w:t>
      </w:r>
      <w:r w:rsidRPr="008B5CD0">
        <w:rPr>
          <w:szCs w:val="24"/>
        </w:rPr>
        <w:t>next financial year.</w:t>
      </w:r>
    </w:p>
    <w:p w14:paraId="0E2C352E" w14:textId="0649A05C" w:rsidR="00333FAA" w:rsidRDefault="00333FAA" w:rsidP="00A1211C">
      <w:pPr>
        <w:pStyle w:val="Heading3"/>
        <w:spacing w:before="480" w:after="240"/>
      </w:pPr>
      <w:r>
        <w:t>Financial Implications</w:t>
      </w:r>
    </w:p>
    <w:p w14:paraId="6B0D0550" w14:textId="77777777" w:rsidR="00B462F4" w:rsidRDefault="00B462F4" w:rsidP="00850709">
      <w:pPr>
        <w:numPr>
          <w:ilvl w:val="0"/>
          <w:numId w:val="3"/>
        </w:numPr>
        <w:tabs>
          <w:tab w:val="left" w:pos="284"/>
        </w:tabs>
        <w:ind w:left="142" w:hanging="284"/>
        <w:jc w:val="both"/>
      </w:pPr>
      <w:r>
        <w:t>Continuation of the new build programme will require full utilisation of external grants together with external borrowing within required timescales.</w:t>
      </w:r>
    </w:p>
    <w:p w14:paraId="6D91BB3B" w14:textId="77777777" w:rsidR="00B462F4" w:rsidRDefault="00B462F4" w:rsidP="00B462F4">
      <w:pPr>
        <w:tabs>
          <w:tab w:val="left" w:pos="142"/>
        </w:tabs>
        <w:ind w:left="142"/>
        <w:jc w:val="both"/>
      </w:pPr>
    </w:p>
    <w:p w14:paraId="0AC8B94D" w14:textId="77777777" w:rsidR="00B462F4" w:rsidRDefault="00B462F4" w:rsidP="00850709">
      <w:pPr>
        <w:numPr>
          <w:ilvl w:val="0"/>
          <w:numId w:val="3"/>
        </w:numPr>
        <w:tabs>
          <w:tab w:val="left" w:pos="284"/>
        </w:tabs>
        <w:ind w:left="142" w:hanging="284"/>
        <w:jc w:val="both"/>
      </w:pPr>
      <w:r>
        <w:t>Although permanent cost reductions of £1.9m on the revenue account are expected to be fully achieved by 2021 these will be kept under review as part of the budget monitoring process and included in future updates as required</w:t>
      </w:r>
    </w:p>
    <w:p w14:paraId="517983FB" w14:textId="77777777" w:rsidR="00B462F4" w:rsidRDefault="00B462F4" w:rsidP="00B462F4">
      <w:pPr>
        <w:pStyle w:val="ListParagraph"/>
        <w:jc w:val="both"/>
      </w:pPr>
    </w:p>
    <w:p w14:paraId="3DC91930" w14:textId="77777777" w:rsidR="00B462F4" w:rsidRPr="001F0D17" w:rsidRDefault="00B462F4" w:rsidP="00850709">
      <w:pPr>
        <w:numPr>
          <w:ilvl w:val="0"/>
          <w:numId w:val="3"/>
        </w:numPr>
        <w:tabs>
          <w:tab w:val="left" w:pos="284"/>
        </w:tabs>
        <w:ind w:left="142" w:hanging="284"/>
        <w:jc w:val="both"/>
      </w:pPr>
      <w:r w:rsidRPr="00F65E32">
        <w:t>Further debt repayments will have to be co-ordinated with General Fund and will therefore form part of the Treasury Management update to Cabinet later in the year</w:t>
      </w:r>
      <w:r>
        <w:t>.</w:t>
      </w:r>
    </w:p>
    <w:p w14:paraId="66D81A94" w14:textId="77777777" w:rsidR="00B462F4" w:rsidRDefault="00B462F4" w:rsidP="00B462F4">
      <w:pPr>
        <w:pStyle w:val="ListParagraph"/>
        <w:jc w:val="both"/>
      </w:pPr>
    </w:p>
    <w:p w14:paraId="0B809F4C" w14:textId="77777777" w:rsidR="00B462F4" w:rsidRDefault="00B462F4" w:rsidP="00850709">
      <w:pPr>
        <w:numPr>
          <w:ilvl w:val="0"/>
          <w:numId w:val="3"/>
        </w:numPr>
        <w:tabs>
          <w:tab w:val="left" w:pos="284"/>
        </w:tabs>
        <w:ind w:left="142" w:hanging="284"/>
        <w:jc w:val="both"/>
      </w:pPr>
      <w:r>
        <w:t xml:space="preserve">A key mitigation will be the regular and rigorous review of the financial viability of the Council’s HRA as the </w:t>
      </w:r>
      <w:proofErr w:type="spellStart"/>
      <w:r>
        <w:t>BCHfL</w:t>
      </w:r>
      <w:proofErr w:type="spellEnd"/>
      <w:r>
        <w:t xml:space="preserve"> scheme progresses against a suite of assumptions, the most significant of which have already been stress tested.</w:t>
      </w:r>
    </w:p>
    <w:p w14:paraId="606BDFEE" w14:textId="77777777" w:rsidR="00B462F4" w:rsidRDefault="00B462F4" w:rsidP="00B462F4">
      <w:pPr>
        <w:pStyle w:val="ListParagraph"/>
      </w:pPr>
    </w:p>
    <w:p w14:paraId="257A8594" w14:textId="77777777" w:rsidR="00B462F4" w:rsidRDefault="00B462F4" w:rsidP="00B462F4">
      <w:pPr>
        <w:pStyle w:val="ListParagraph"/>
      </w:pPr>
    </w:p>
    <w:p w14:paraId="6863499E" w14:textId="77777777" w:rsidR="00B462F4" w:rsidRDefault="00B462F4" w:rsidP="00850709">
      <w:pPr>
        <w:numPr>
          <w:ilvl w:val="0"/>
          <w:numId w:val="3"/>
        </w:numPr>
        <w:tabs>
          <w:tab w:val="left" w:pos="284"/>
        </w:tabs>
        <w:ind w:left="142" w:hanging="284"/>
        <w:jc w:val="both"/>
      </w:pPr>
      <w:r>
        <w:t xml:space="preserve">The HRA Business Plan provides a framework within which more detailed budgets can be constructed. Significant decisions around the extension of the </w:t>
      </w:r>
      <w:proofErr w:type="spellStart"/>
      <w:r>
        <w:t>BCHfL</w:t>
      </w:r>
      <w:proofErr w:type="spellEnd"/>
      <w:r>
        <w:t xml:space="preserve"> programme and the procurement route to support this, including alternative delivery models, are outstanding. The financial impacts of these decisions will form part of an update to Cabinet later in the year. </w:t>
      </w:r>
    </w:p>
    <w:p w14:paraId="44DABB93"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34FAF447" w14:textId="77777777" w:rsidR="00B462F4" w:rsidRPr="003C3C89" w:rsidRDefault="00B462F4" w:rsidP="00850709">
      <w:pPr>
        <w:numPr>
          <w:ilvl w:val="0"/>
          <w:numId w:val="3"/>
        </w:numPr>
        <w:tabs>
          <w:tab w:val="left" w:pos="284"/>
        </w:tabs>
        <w:ind w:left="142" w:hanging="284"/>
        <w:jc w:val="both"/>
        <w:rPr>
          <w:szCs w:val="24"/>
        </w:rPr>
      </w:pPr>
      <w:r w:rsidRPr="003C3C89">
        <w:rPr>
          <w:szCs w:val="24"/>
        </w:rPr>
        <w:t xml:space="preserve">Pursuant to </w:t>
      </w:r>
      <w:r>
        <w:rPr>
          <w:szCs w:val="24"/>
        </w:rPr>
        <w:t xml:space="preserve">the </w:t>
      </w:r>
      <w:r w:rsidRPr="003C3C89">
        <w:rPr>
          <w:szCs w:val="24"/>
        </w:rPr>
        <w:t>Equa</w:t>
      </w:r>
      <w:r>
        <w:rPr>
          <w:szCs w:val="24"/>
        </w:rPr>
        <w:t>lity Act 2010 (“the Act”), the C</w:t>
      </w:r>
      <w:r w:rsidRPr="003C3C89">
        <w:rPr>
          <w:szCs w:val="24"/>
        </w:rPr>
        <w:t>ouncil, in exercise of its functions, has to have ‘due regard’ to (</w:t>
      </w:r>
      <w:proofErr w:type="spellStart"/>
      <w:r w:rsidRPr="003C3C89">
        <w:rPr>
          <w:szCs w:val="24"/>
        </w:rPr>
        <w:t>i</w:t>
      </w:r>
      <w:proofErr w:type="spellEnd"/>
      <w:r w:rsidRPr="003C3C89">
        <w:rPr>
          <w:szCs w:val="24"/>
        </w:rPr>
        <w:t>) eliminating discrimination, harassment, victimisation and any other conduct that is prohibited by</w:t>
      </w:r>
      <w:r w:rsidRPr="00AC0A90">
        <w:rPr>
          <w:szCs w:val="24"/>
        </w:rPr>
        <w:t xml:space="preserve"> </w:t>
      </w:r>
      <w:r w:rsidRPr="003C3C89">
        <w:rPr>
          <w:szCs w:val="24"/>
        </w:rPr>
        <w:t xml:space="preserve">or under the Act; (ii) advancing equality of opportunity between those with a relevant protected characteristic and those without; and (iii) fostering good relations between those with a relevant protected characteristic and those without.  The relevant protected characteristics are age, race, disability, gender reassignment, pregnancy and maternity, religion </w:t>
      </w:r>
      <w:r w:rsidRPr="003C3C89">
        <w:rPr>
          <w:szCs w:val="24"/>
        </w:rPr>
        <w:lastRenderedPageBreak/>
        <w:t>or belief, sex and sexual orientation.  The duty also covers marriage and civil partnership, but to a limited extent.</w:t>
      </w:r>
    </w:p>
    <w:p w14:paraId="1A7A12E0" w14:textId="77777777" w:rsidR="00B462F4" w:rsidRPr="003C3C89" w:rsidRDefault="00B462F4" w:rsidP="00B462F4">
      <w:pPr>
        <w:jc w:val="both"/>
        <w:rPr>
          <w:szCs w:val="24"/>
        </w:rPr>
      </w:pPr>
    </w:p>
    <w:p w14:paraId="5832CF00" w14:textId="77777777" w:rsidR="00B462F4" w:rsidRPr="003C3C89" w:rsidRDefault="00B462F4" w:rsidP="00850709">
      <w:pPr>
        <w:numPr>
          <w:ilvl w:val="0"/>
          <w:numId w:val="3"/>
        </w:numPr>
        <w:tabs>
          <w:tab w:val="left" w:pos="284"/>
        </w:tabs>
        <w:ind w:left="142" w:hanging="284"/>
        <w:jc w:val="both"/>
        <w:rPr>
          <w:szCs w:val="24"/>
        </w:rPr>
      </w:pPr>
      <w:r w:rsidRPr="003C3C89">
        <w:rPr>
          <w:szCs w:val="24"/>
        </w:rPr>
        <w:t>When making decisions, the Council must take account of the equality duty and in particular any potential impact on protected groups.  There are no new equality impacts of the recommend</w:t>
      </w:r>
      <w:r>
        <w:rPr>
          <w:szCs w:val="24"/>
        </w:rPr>
        <w:t xml:space="preserve">ations contained within this report </w:t>
      </w:r>
      <w:r w:rsidRPr="003C3C89">
        <w:rPr>
          <w:szCs w:val="24"/>
        </w:rPr>
        <w:t xml:space="preserve">as </w:t>
      </w:r>
      <w:r>
        <w:rPr>
          <w:szCs w:val="24"/>
        </w:rPr>
        <w:t>i</w:t>
      </w:r>
      <w:r w:rsidRPr="003C3C89">
        <w:rPr>
          <w:szCs w:val="24"/>
        </w:rPr>
        <w:t>t represents a continuation of existing</w:t>
      </w:r>
      <w:r>
        <w:rPr>
          <w:szCs w:val="24"/>
        </w:rPr>
        <w:t xml:space="preserve"> policy</w:t>
      </w:r>
      <w:r w:rsidRPr="003C3C89">
        <w:rPr>
          <w:szCs w:val="24"/>
        </w:rPr>
        <w:t xml:space="preserve">. </w:t>
      </w:r>
    </w:p>
    <w:p w14:paraId="5091D098" w14:textId="62D26724" w:rsidR="00B462F4" w:rsidRPr="00CD57D8" w:rsidRDefault="00333FAA" w:rsidP="00F00F23">
      <w:pPr>
        <w:pStyle w:val="Heading3"/>
        <w:spacing w:before="480" w:after="240"/>
        <w:rPr>
          <w:szCs w:val="24"/>
          <w:lang w:val="en-US"/>
        </w:rPr>
      </w:pPr>
      <w:r>
        <w:t xml:space="preserve">Council </w:t>
      </w:r>
      <w:r w:rsidRPr="009117F2">
        <w:t>Priorities</w:t>
      </w:r>
    </w:p>
    <w:p w14:paraId="04FC315D" w14:textId="77777777" w:rsidR="00B462F4" w:rsidRDefault="00B462F4" w:rsidP="00B07F57">
      <w:pPr>
        <w:jc w:val="both"/>
      </w:pPr>
    </w:p>
    <w:p w14:paraId="59FE5D9A" w14:textId="77777777" w:rsidR="00B462F4" w:rsidRPr="004B2F93" w:rsidRDefault="00B462F4" w:rsidP="00B07F57">
      <w:pPr>
        <w:pStyle w:val="ListParagraph"/>
        <w:numPr>
          <w:ilvl w:val="0"/>
          <w:numId w:val="2"/>
        </w:numPr>
        <w:autoSpaceDE w:val="0"/>
        <w:autoSpaceDN w:val="0"/>
        <w:contextualSpacing/>
        <w:jc w:val="both"/>
        <w:rPr>
          <w:b/>
          <w:bCs/>
        </w:rPr>
      </w:pPr>
      <w:r w:rsidRPr="00D0381E">
        <w:rPr>
          <w:b/>
        </w:rPr>
        <w:t>Improving the environment and addressing climate change</w:t>
      </w:r>
    </w:p>
    <w:p w14:paraId="0E59CC38" w14:textId="77777777" w:rsidR="00B462F4" w:rsidRPr="004B2F93" w:rsidRDefault="00B462F4" w:rsidP="00B07F57">
      <w:pPr>
        <w:pStyle w:val="ListParagraph"/>
        <w:autoSpaceDE w:val="0"/>
        <w:autoSpaceDN w:val="0"/>
        <w:contextualSpacing/>
        <w:jc w:val="both"/>
        <w:rPr>
          <w:bCs/>
        </w:rPr>
      </w:pPr>
      <w:r w:rsidRPr="004B2F93">
        <w:rPr>
          <w:bCs/>
        </w:rPr>
        <w:t>The Planned Investment pro</w:t>
      </w:r>
      <w:r>
        <w:rPr>
          <w:bCs/>
        </w:rPr>
        <w:t>g</w:t>
      </w:r>
      <w:r w:rsidRPr="004B2F93">
        <w:rPr>
          <w:bCs/>
        </w:rPr>
        <w:t>ramme</w:t>
      </w:r>
      <w:r>
        <w:rPr>
          <w:bCs/>
        </w:rPr>
        <w:t xml:space="preserve"> is being designed to address key climate change</w:t>
      </w:r>
      <w:r w:rsidRPr="004B2F93">
        <w:rPr>
          <w:bCs/>
        </w:rPr>
        <w:t xml:space="preserve"> </w:t>
      </w:r>
      <w:r>
        <w:rPr>
          <w:bCs/>
        </w:rPr>
        <w:t>issues with a focus on renewable energy and efficiency in existing and new homes.</w:t>
      </w:r>
    </w:p>
    <w:p w14:paraId="25FC29B5" w14:textId="77777777" w:rsidR="00B462F4" w:rsidRDefault="00B462F4" w:rsidP="00B07F57">
      <w:pPr>
        <w:autoSpaceDE w:val="0"/>
        <w:autoSpaceDN w:val="0"/>
        <w:jc w:val="both"/>
        <w:rPr>
          <w:b/>
          <w:bCs/>
        </w:rPr>
      </w:pPr>
    </w:p>
    <w:p w14:paraId="55D8C26B" w14:textId="77777777" w:rsidR="00B462F4" w:rsidRPr="004B2F93" w:rsidRDefault="00B462F4" w:rsidP="00B07F57">
      <w:pPr>
        <w:pStyle w:val="ListParagraph"/>
        <w:numPr>
          <w:ilvl w:val="0"/>
          <w:numId w:val="2"/>
        </w:numPr>
        <w:autoSpaceDE w:val="0"/>
        <w:autoSpaceDN w:val="0"/>
        <w:contextualSpacing/>
        <w:jc w:val="both"/>
        <w:rPr>
          <w:b/>
          <w:bCs/>
        </w:rPr>
      </w:pPr>
      <w:r w:rsidRPr="00D0381E">
        <w:rPr>
          <w:b/>
        </w:rPr>
        <w:t>Tackling poverty and inequality</w:t>
      </w:r>
    </w:p>
    <w:p w14:paraId="77A76F84" w14:textId="77777777" w:rsidR="00B462F4" w:rsidRPr="004B2F93" w:rsidRDefault="00B462F4" w:rsidP="00B07F57">
      <w:pPr>
        <w:autoSpaceDE w:val="0"/>
        <w:autoSpaceDN w:val="0"/>
        <w:ind w:left="720"/>
        <w:jc w:val="both"/>
        <w:rPr>
          <w:bCs/>
        </w:rPr>
      </w:pPr>
      <w:r w:rsidRPr="004B2F93">
        <w:rPr>
          <w:bCs/>
        </w:rPr>
        <w:t>The additional housing will be genuinely affordable thereby providing accommodation to the most vulnerable in the Borough</w:t>
      </w:r>
    </w:p>
    <w:p w14:paraId="6D6E0353" w14:textId="77777777" w:rsidR="00B462F4" w:rsidRPr="004B2F93" w:rsidRDefault="00B462F4" w:rsidP="00B07F57">
      <w:pPr>
        <w:pStyle w:val="ListParagraph"/>
        <w:jc w:val="both"/>
        <w:rPr>
          <w:b/>
          <w:bCs/>
        </w:rPr>
      </w:pPr>
    </w:p>
    <w:p w14:paraId="30828868" w14:textId="77777777" w:rsidR="00B462F4" w:rsidRPr="004B2F93" w:rsidRDefault="00B462F4" w:rsidP="00B07F57">
      <w:pPr>
        <w:pStyle w:val="ListParagraph"/>
        <w:numPr>
          <w:ilvl w:val="0"/>
          <w:numId w:val="2"/>
        </w:numPr>
        <w:autoSpaceDE w:val="0"/>
        <w:autoSpaceDN w:val="0"/>
        <w:contextualSpacing/>
        <w:jc w:val="both"/>
        <w:rPr>
          <w:b/>
          <w:bCs/>
        </w:rPr>
      </w:pPr>
      <w:r w:rsidRPr="00D0381E">
        <w:rPr>
          <w:b/>
        </w:rPr>
        <w:t>Building homes and infrastructure</w:t>
      </w:r>
    </w:p>
    <w:p w14:paraId="1AB7BDFF" w14:textId="77777777" w:rsidR="00B462F4" w:rsidRPr="004B2F93" w:rsidRDefault="00B462F4" w:rsidP="00B07F57">
      <w:pPr>
        <w:pStyle w:val="ListParagraph"/>
        <w:autoSpaceDE w:val="0"/>
        <w:autoSpaceDN w:val="0"/>
        <w:jc w:val="both"/>
        <w:rPr>
          <w:bCs/>
        </w:rPr>
      </w:pPr>
      <w:r w:rsidRPr="004B2F93">
        <w:rPr>
          <w:bCs/>
        </w:rPr>
        <w:t>Provision of additional housing will support the local community and economy thereby contributing to the wellbeing of residents and supporting community cohesion,</w:t>
      </w:r>
    </w:p>
    <w:p w14:paraId="1600ACAA" w14:textId="77777777" w:rsidR="00B462F4" w:rsidRPr="004B2F93" w:rsidRDefault="00B462F4" w:rsidP="00B07F57">
      <w:pPr>
        <w:autoSpaceDE w:val="0"/>
        <w:autoSpaceDN w:val="0"/>
        <w:contextualSpacing/>
        <w:jc w:val="both"/>
        <w:rPr>
          <w:b/>
          <w:bCs/>
        </w:rPr>
      </w:pPr>
    </w:p>
    <w:p w14:paraId="32ECC51C" w14:textId="77777777" w:rsidR="00B462F4" w:rsidRDefault="00B462F4" w:rsidP="00B07F57">
      <w:pPr>
        <w:pStyle w:val="ListParagraph"/>
        <w:numPr>
          <w:ilvl w:val="0"/>
          <w:numId w:val="2"/>
        </w:numPr>
        <w:autoSpaceDE w:val="0"/>
        <w:autoSpaceDN w:val="0"/>
        <w:contextualSpacing/>
        <w:jc w:val="both"/>
        <w:rPr>
          <w:b/>
        </w:rPr>
      </w:pPr>
      <w:r w:rsidRPr="00D0381E">
        <w:rPr>
          <w:b/>
        </w:rPr>
        <w:t>Thriving economy</w:t>
      </w:r>
    </w:p>
    <w:p w14:paraId="4052845C" w14:textId="77777777" w:rsidR="00B462F4" w:rsidRDefault="00B462F4" w:rsidP="00B07F57">
      <w:pPr>
        <w:pStyle w:val="ListParagraph"/>
        <w:autoSpaceDE w:val="0"/>
        <w:autoSpaceDN w:val="0"/>
        <w:jc w:val="both"/>
      </w:pPr>
      <w:r>
        <w:t>The Business Plan is designed to support the longer term viability of the HRA which provides much needed housing and advice to residents and those at risk of becoming homeless.</w:t>
      </w:r>
    </w:p>
    <w:p w14:paraId="38AC9850" w14:textId="3506A189" w:rsidR="00B462F4" w:rsidRDefault="00B462F4" w:rsidP="00B07F57">
      <w:pPr>
        <w:ind w:left="720"/>
        <w:jc w:val="both"/>
      </w:pPr>
      <w:r>
        <w:t>Affordable and high quality housing is in high demand and will support the local economy by providing a stable base for local workers as well as contractors engaged in building and maintaining the new houses.</w:t>
      </w:r>
    </w:p>
    <w:p w14:paraId="5A6FCC53" w14:textId="0DFE77E7" w:rsidR="00D76560" w:rsidRDefault="00D76560" w:rsidP="00B462F4">
      <w:pPr>
        <w:ind w:left="720"/>
        <w:jc w:val="both"/>
      </w:pPr>
    </w:p>
    <w:p w14:paraId="6FCA0297" w14:textId="77777777" w:rsidR="00F00F23" w:rsidRPr="00F00F23" w:rsidRDefault="00F00F23" w:rsidP="00F00F23">
      <w:pPr>
        <w:spacing w:before="480" w:after="240"/>
        <w:outlineLvl w:val="1"/>
        <w:rPr>
          <w:rFonts w:ascii="Arial Black" w:hAnsi="Arial Black" w:cs="Arial"/>
          <w:b/>
          <w:bCs/>
          <w:sz w:val="32"/>
          <w:szCs w:val="32"/>
        </w:rPr>
      </w:pPr>
      <w:r w:rsidRPr="00F00F23">
        <w:rPr>
          <w:rFonts w:ascii="Arial Black" w:hAnsi="Arial Black" w:cs="Arial"/>
          <w:b/>
          <w:bCs/>
          <w:sz w:val="32"/>
          <w:szCs w:val="32"/>
        </w:rPr>
        <w:t>Section 3 - Statutory Officer Clearance</w:t>
      </w:r>
    </w:p>
    <w:p w14:paraId="33D25ECE" w14:textId="77777777" w:rsidR="00F00F23" w:rsidRPr="00F00F23" w:rsidRDefault="00F00F23" w:rsidP="00F00F23">
      <w:pPr>
        <w:rPr>
          <w:sz w:val="28"/>
        </w:rPr>
      </w:pPr>
      <w:r w:rsidRPr="00F00F23">
        <w:rPr>
          <w:b/>
          <w:sz w:val="28"/>
        </w:rPr>
        <w:t xml:space="preserve">Statutory Officer: </w:t>
      </w:r>
      <w:proofErr w:type="spellStart"/>
      <w:r w:rsidRPr="00F00F23">
        <w:rPr>
          <w:b/>
          <w:sz w:val="28"/>
        </w:rPr>
        <w:t>Tasleem</w:t>
      </w:r>
      <w:proofErr w:type="spellEnd"/>
      <w:r w:rsidRPr="00F00F23">
        <w:rPr>
          <w:b/>
          <w:sz w:val="28"/>
        </w:rPr>
        <w:t xml:space="preserve"> </w:t>
      </w:r>
      <w:proofErr w:type="spellStart"/>
      <w:r w:rsidRPr="00F00F23">
        <w:rPr>
          <w:b/>
          <w:sz w:val="28"/>
        </w:rPr>
        <w:t>Kazmi</w:t>
      </w:r>
      <w:proofErr w:type="spellEnd"/>
      <w:r w:rsidRPr="00F00F23">
        <w:rPr>
          <w:b/>
          <w:sz w:val="28"/>
        </w:rPr>
        <w:t xml:space="preserve"> </w:t>
      </w:r>
    </w:p>
    <w:p w14:paraId="288BD9BB" w14:textId="77777777" w:rsidR="00F00F23" w:rsidRPr="00F00F23" w:rsidRDefault="00F00F23" w:rsidP="00F00F23">
      <w:pPr>
        <w:rPr>
          <w:sz w:val="28"/>
        </w:rPr>
      </w:pPr>
      <w:r w:rsidRPr="00F00F23">
        <w:t>Signed on behalf of the Chief Financial Officer</w:t>
      </w:r>
    </w:p>
    <w:p w14:paraId="182CAD0F" w14:textId="77777777" w:rsidR="00F00F23" w:rsidRPr="00F00F23" w:rsidRDefault="00F00F23" w:rsidP="00F00F23">
      <w:pPr>
        <w:rPr>
          <w:bCs/>
          <w:sz w:val="28"/>
        </w:rPr>
      </w:pPr>
      <w:r w:rsidRPr="00F00F23">
        <w:rPr>
          <w:b/>
          <w:sz w:val="28"/>
        </w:rPr>
        <w:t xml:space="preserve">Date:  </w:t>
      </w:r>
      <w:r w:rsidRPr="00F00F23">
        <w:rPr>
          <w:bCs/>
          <w:sz w:val="28"/>
        </w:rPr>
        <w:t>18</w:t>
      </w:r>
      <w:r w:rsidRPr="00F00F23">
        <w:rPr>
          <w:bCs/>
          <w:sz w:val="28"/>
          <w:vertAlign w:val="superscript"/>
        </w:rPr>
        <w:t>th</w:t>
      </w:r>
      <w:r w:rsidRPr="00F00F23">
        <w:rPr>
          <w:bCs/>
          <w:sz w:val="28"/>
        </w:rPr>
        <w:t xml:space="preserve"> September 2020</w:t>
      </w:r>
    </w:p>
    <w:p w14:paraId="04F7CEED" w14:textId="77777777" w:rsidR="00F00F23" w:rsidRPr="00F00F23" w:rsidRDefault="00F00F23" w:rsidP="00F00F23">
      <w:pPr>
        <w:rPr>
          <w:sz w:val="28"/>
        </w:rPr>
      </w:pPr>
    </w:p>
    <w:p w14:paraId="31CA0F99" w14:textId="77777777" w:rsidR="00F00F23" w:rsidRPr="00F00F23" w:rsidRDefault="00F00F23" w:rsidP="00F00F23">
      <w:pPr>
        <w:rPr>
          <w:sz w:val="28"/>
        </w:rPr>
      </w:pPr>
      <w:r w:rsidRPr="00F00F23">
        <w:rPr>
          <w:b/>
          <w:sz w:val="28"/>
        </w:rPr>
        <w:t>Statutory Officer:  Paresh Mehta</w:t>
      </w:r>
    </w:p>
    <w:p w14:paraId="2FC52E95" w14:textId="77777777" w:rsidR="00F00F23" w:rsidRPr="00F00F23" w:rsidRDefault="00F00F23" w:rsidP="00F00F23">
      <w:r w:rsidRPr="00F00F23">
        <w:t>Signed on behalf of the Monitoring Officer</w:t>
      </w:r>
    </w:p>
    <w:p w14:paraId="3A98E757" w14:textId="77777777" w:rsidR="00F00F23" w:rsidRPr="00F00F23" w:rsidRDefault="00F00F23" w:rsidP="00F00F23">
      <w:pPr>
        <w:spacing w:after="480"/>
        <w:rPr>
          <w:sz w:val="28"/>
        </w:rPr>
      </w:pPr>
      <w:r w:rsidRPr="00F00F23">
        <w:rPr>
          <w:b/>
          <w:sz w:val="28"/>
        </w:rPr>
        <w:t xml:space="preserve">Date:  </w:t>
      </w:r>
      <w:r w:rsidRPr="00F00F23">
        <w:rPr>
          <w:sz w:val="28"/>
        </w:rPr>
        <w:t>7</w:t>
      </w:r>
      <w:r w:rsidRPr="00F00F23">
        <w:rPr>
          <w:sz w:val="28"/>
          <w:vertAlign w:val="superscript"/>
        </w:rPr>
        <w:t>th</w:t>
      </w:r>
      <w:r w:rsidRPr="00F00F23">
        <w:rPr>
          <w:sz w:val="28"/>
        </w:rPr>
        <w:t xml:space="preserve"> September 2020</w:t>
      </w:r>
    </w:p>
    <w:p w14:paraId="16EFCCF3" w14:textId="77777777" w:rsidR="00F00F23" w:rsidRPr="00F00F23" w:rsidRDefault="00F00F23" w:rsidP="00F00F23">
      <w:pPr>
        <w:rPr>
          <w:sz w:val="28"/>
        </w:rPr>
      </w:pPr>
      <w:r w:rsidRPr="00F00F23">
        <w:rPr>
          <w:b/>
          <w:sz w:val="28"/>
        </w:rPr>
        <w:t xml:space="preserve">Statutory Officer:  </w:t>
      </w:r>
      <w:proofErr w:type="spellStart"/>
      <w:r w:rsidRPr="00F00F23">
        <w:rPr>
          <w:b/>
          <w:sz w:val="28"/>
        </w:rPr>
        <w:t>Nimesh</w:t>
      </w:r>
      <w:proofErr w:type="spellEnd"/>
      <w:r w:rsidRPr="00F00F23">
        <w:rPr>
          <w:b/>
          <w:sz w:val="28"/>
        </w:rPr>
        <w:t xml:space="preserve"> Mehta</w:t>
      </w:r>
    </w:p>
    <w:p w14:paraId="08963FAD" w14:textId="77777777" w:rsidR="00F00F23" w:rsidRPr="00F00F23" w:rsidRDefault="00F00F23" w:rsidP="00F00F23">
      <w:r w:rsidRPr="00F00F23">
        <w:t>Signed by the Head of Procurement</w:t>
      </w:r>
    </w:p>
    <w:p w14:paraId="07158892" w14:textId="77777777" w:rsidR="00F00F23" w:rsidRPr="00F00F23" w:rsidRDefault="00F00F23" w:rsidP="00F00F23">
      <w:pPr>
        <w:spacing w:after="480"/>
        <w:rPr>
          <w:sz w:val="28"/>
        </w:rPr>
      </w:pPr>
      <w:r w:rsidRPr="00F00F23">
        <w:rPr>
          <w:b/>
          <w:sz w:val="28"/>
        </w:rPr>
        <w:t xml:space="preserve">Date:  </w:t>
      </w:r>
      <w:r w:rsidRPr="00F00F23">
        <w:rPr>
          <w:sz w:val="28"/>
        </w:rPr>
        <w:t>28</w:t>
      </w:r>
      <w:r w:rsidRPr="00F00F23">
        <w:rPr>
          <w:sz w:val="28"/>
          <w:vertAlign w:val="superscript"/>
        </w:rPr>
        <w:t>th</w:t>
      </w:r>
      <w:r w:rsidRPr="00F00F23">
        <w:rPr>
          <w:sz w:val="28"/>
        </w:rPr>
        <w:t xml:space="preserve"> August 2020</w:t>
      </w:r>
    </w:p>
    <w:p w14:paraId="60250FC5" w14:textId="77777777" w:rsidR="00F00F23" w:rsidRPr="00F00F23" w:rsidRDefault="00F00F23" w:rsidP="00F00F23">
      <w:pPr>
        <w:rPr>
          <w:sz w:val="28"/>
        </w:rPr>
      </w:pPr>
      <w:r w:rsidRPr="00F00F23">
        <w:rPr>
          <w:b/>
          <w:sz w:val="28"/>
        </w:rPr>
        <w:t>Statutory Officer:  Paul Walker</w:t>
      </w:r>
    </w:p>
    <w:p w14:paraId="5078926A" w14:textId="5A17C84B" w:rsidR="00F00F23" w:rsidRPr="00F00F23" w:rsidRDefault="00F00F23" w:rsidP="00F00F23">
      <w:pPr>
        <w:rPr>
          <w:sz w:val="28"/>
        </w:rPr>
      </w:pPr>
      <w:r w:rsidRPr="00F00F23">
        <w:t>Signed by the Corporate Director</w:t>
      </w:r>
    </w:p>
    <w:p w14:paraId="3C95CE4A" w14:textId="77777777" w:rsidR="00F00F23" w:rsidRPr="00F00F23" w:rsidRDefault="00F00F23" w:rsidP="00F00F23">
      <w:pPr>
        <w:spacing w:after="480"/>
        <w:rPr>
          <w:sz w:val="28"/>
        </w:rPr>
      </w:pPr>
      <w:r w:rsidRPr="00F00F23">
        <w:rPr>
          <w:b/>
          <w:sz w:val="28"/>
        </w:rPr>
        <w:t xml:space="preserve">Date:  </w:t>
      </w:r>
      <w:r w:rsidRPr="00F00F23">
        <w:rPr>
          <w:sz w:val="28"/>
        </w:rPr>
        <w:t>29</w:t>
      </w:r>
      <w:r w:rsidRPr="00F00F23">
        <w:rPr>
          <w:sz w:val="28"/>
          <w:vertAlign w:val="superscript"/>
        </w:rPr>
        <w:t>th</w:t>
      </w:r>
      <w:r w:rsidRPr="00F00F23">
        <w:rPr>
          <w:sz w:val="28"/>
        </w:rPr>
        <w:t xml:space="preserve"> September 2020</w:t>
      </w:r>
    </w:p>
    <w:p w14:paraId="39FFC0F8" w14:textId="77777777" w:rsidR="00F00F23" w:rsidRPr="00F00F23" w:rsidRDefault="00F00F23" w:rsidP="00F00F23">
      <w:pPr>
        <w:spacing w:after="240"/>
        <w:outlineLvl w:val="1"/>
        <w:rPr>
          <w:rFonts w:ascii="Arial Black" w:hAnsi="Arial Black" w:cs="Arial"/>
          <w:b/>
          <w:bCs/>
          <w:sz w:val="32"/>
          <w:szCs w:val="32"/>
        </w:rPr>
      </w:pPr>
      <w:r w:rsidRPr="00F00F23">
        <w:rPr>
          <w:rFonts w:ascii="Arial Black" w:hAnsi="Arial Black" w:cs="Arial"/>
          <w:b/>
          <w:bCs/>
          <w:sz w:val="32"/>
          <w:szCs w:val="32"/>
        </w:rPr>
        <w:lastRenderedPageBreak/>
        <w:t>Mandatory Checks</w:t>
      </w:r>
    </w:p>
    <w:p w14:paraId="239AB087" w14:textId="77777777" w:rsidR="00F00F23" w:rsidRPr="00F00F23" w:rsidRDefault="00F00F23" w:rsidP="00F00F23">
      <w:pPr>
        <w:outlineLvl w:val="2"/>
        <w:rPr>
          <w:rFonts w:cs="Arial"/>
          <w:b/>
          <w:bCs/>
          <w:sz w:val="28"/>
          <w:szCs w:val="28"/>
        </w:rPr>
      </w:pPr>
      <w:r w:rsidRPr="00F00F23">
        <w:rPr>
          <w:rFonts w:cs="Arial"/>
          <w:b/>
          <w:bCs/>
          <w:sz w:val="28"/>
          <w:szCs w:val="28"/>
        </w:rPr>
        <w:t xml:space="preserve">Ward Councillors notified:  NO, as it impacts on all Wards </w:t>
      </w:r>
    </w:p>
    <w:p w14:paraId="0072FAFF" w14:textId="77777777" w:rsidR="00F00F23" w:rsidRPr="00F00F23" w:rsidRDefault="00F00F23" w:rsidP="00F00F23">
      <w:pPr>
        <w:spacing w:before="240"/>
        <w:ind w:left="720" w:hanging="720"/>
        <w:jc w:val="both"/>
        <w:outlineLvl w:val="2"/>
        <w:rPr>
          <w:rFonts w:cs="Arial"/>
          <w:bCs/>
          <w:sz w:val="28"/>
          <w:szCs w:val="28"/>
        </w:rPr>
      </w:pPr>
      <w:proofErr w:type="spellStart"/>
      <w:r w:rsidRPr="00F00F23">
        <w:rPr>
          <w:rFonts w:cs="Arial"/>
          <w:b/>
          <w:bCs/>
          <w:sz w:val="28"/>
          <w:szCs w:val="28"/>
        </w:rPr>
        <w:t>EqIA</w:t>
      </w:r>
      <w:proofErr w:type="spellEnd"/>
      <w:r w:rsidRPr="00F00F23">
        <w:rPr>
          <w:rFonts w:cs="Arial"/>
          <w:b/>
          <w:bCs/>
          <w:sz w:val="28"/>
          <w:szCs w:val="28"/>
        </w:rPr>
        <w:t xml:space="preserve"> carried out:  YES</w:t>
      </w:r>
    </w:p>
    <w:p w14:paraId="5613B4D8" w14:textId="77777777" w:rsidR="00F00F23" w:rsidRPr="00F00F23" w:rsidRDefault="00F00F23" w:rsidP="00F00F23">
      <w:pPr>
        <w:spacing w:before="240"/>
        <w:ind w:left="720" w:hanging="720"/>
        <w:outlineLvl w:val="2"/>
        <w:rPr>
          <w:rFonts w:cs="Arial"/>
          <w:b/>
          <w:bCs/>
          <w:color w:val="FF0000"/>
          <w:sz w:val="28"/>
          <w:szCs w:val="28"/>
        </w:rPr>
      </w:pPr>
      <w:proofErr w:type="spellStart"/>
      <w:r w:rsidRPr="00F00F23">
        <w:rPr>
          <w:rFonts w:cs="Arial"/>
          <w:b/>
          <w:bCs/>
          <w:sz w:val="28"/>
          <w:szCs w:val="28"/>
        </w:rPr>
        <w:t>EqIA</w:t>
      </w:r>
      <w:proofErr w:type="spellEnd"/>
      <w:r w:rsidRPr="00F00F23">
        <w:rPr>
          <w:rFonts w:cs="Arial"/>
          <w:b/>
          <w:bCs/>
          <w:sz w:val="28"/>
          <w:szCs w:val="28"/>
        </w:rPr>
        <w:t xml:space="preserve"> cleared by:  Dave Corby</w:t>
      </w:r>
    </w:p>
    <w:p w14:paraId="316A07AC" w14:textId="4BB52E05" w:rsidR="00850709" w:rsidRDefault="00850709" w:rsidP="00850709"/>
    <w:p w14:paraId="44D30B41" w14:textId="328B6DC5" w:rsidR="00333FAA" w:rsidRDefault="00333FAA" w:rsidP="00842757">
      <w:pPr>
        <w:pStyle w:val="Heading2"/>
        <w:spacing w:before="480" w:after="240"/>
      </w:pPr>
      <w:r>
        <w:t xml:space="preserve">Section </w:t>
      </w:r>
      <w:r w:rsidR="00A20113">
        <w:t>4</w:t>
      </w:r>
      <w:r>
        <w:t xml:space="preserve"> - Contact Details and Background Papers</w:t>
      </w:r>
    </w:p>
    <w:p w14:paraId="3D997CD2" w14:textId="77777777" w:rsidR="00AB6725" w:rsidRDefault="00AB6725" w:rsidP="00AB6725">
      <w:pPr>
        <w:pStyle w:val="Infotext"/>
        <w:rPr>
          <w:b/>
        </w:rPr>
      </w:pPr>
      <w:r w:rsidRPr="004E47FC">
        <w:rPr>
          <w:b/>
        </w:rPr>
        <w:t xml:space="preserve">Contact:  </w:t>
      </w:r>
    </w:p>
    <w:p w14:paraId="44565044" w14:textId="77777777" w:rsidR="00AB6725" w:rsidRPr="001F6AEE" w:rsidRDefault="00AB6725" w:rsidP="00AB6725">
      <w:pPr>
        <w:pStyle w:val="Infotext"/>
        <w:jc w:val="both"/>
      </w:pPr>
      <w:r>
        <w:t>Tasleem Kazmi</w:t>
      </w:r>
      <w:r w:rsidRPr="001F6AEE">
        <w:t xml:space="preserve">, </w:t>
      </w:r>
      <w:r>
        <w:t>Finance Business Partner – Housing &amp; Regeneration</w:t>
      </w:r>
      <w:r w:rsidRPr="001F6AEE">
        <w:t xml:space="preserve">, </w:t>
      </w:r>
    </w:p>
    <w:p w14:paraId="3E522196" w14:textId="77777777" w:rsidR="00AB6725" w:rsidRPr="005808FB" w:rsidRDefault="00AB6725" w:rsidP="00AB6725">
      <w:pPr>
        <w:pStyle w:val="Infotext"/>
        <w:rPr>
          <w:color w:val="FF0000"/>
        </w:rPr>
      </w:pPr>
      <w:r w:rsidRPr="001F6AEE">
        <w:t xml:space="preserve">Tel </w:t>
      </w:r>
      <w:r w:rsidRPr="001F6AEE">
        <w:rPr>
          <w:lang w:val="en"/>
        </w:rPr>
        <w:t xml:space="preserve">020 8416 </w:t>
      </w:r>
      <w:r>
        <w:rPr>
          <w:lang w:val="en"/>
        </w:rPr>
        <w:t>5201</w:t>
      </w:r>
      <w:r w:rsidRPr="001F6AEE">
        <w:rPr>
          <w:lang w:val="en"/>
        </w:rPr>
        <w:t xml:space="preserve"> or email </w:t>
      </w:r>
      <w:r>
        <w:rPr>
          <w:lang w:val="en"/>
        </w:rPr>
        <w:t>tasleem.kazmi</w:t>
      </w:r>
      <w:r w:rsidRPr="001F6AEE">
        <w:rPr>
          <w:lang w:val="en"/>
        </w:rPr>
        <w:t>@harrow.gov.uk</w:t>
      </w:r>
    </w:p>
    <w:p w14:paraId="6FDF4C02" w14:textId="77777777" w:rsidR="00AB6725" w:rsidRDefault="00AB6725" w:rsidP="00AB6725"/>
    <w:p w14:paraId="6473E4BB" w14:textId="77777777" w:rsidR="00AB6725" w:rsidRDefault="00AB6725" w:rsidP="00AB6725">
      <w:pPr>
        <w:pStyle w:val="Infotext"/>
        <w:rPr>
          <w:b/>
        </w:rPr>
      </w:pPr>
      <w:r w:rsidRPr="004E47FC">
        <w:rPr>
          <w:b/>
        </w:rPr>
        <w:t xml:space="preserve">Background Papers: </w:t>
      </w:r>
      <w:r>
        <w:rPr>
          <w:b/>
        </w:rPr>
        <w:t xml:space="preserve"> </w:t>
      </w:r>
    </w:p>
    <w:p w14:paraId="538745F5" w14:textId="6CBBC98B" w:rsidR="00F00F23" w:rsidRDefault="00F00F23" w:rsidP="00AB6725">
      <w:pPr>
        <w:pStyle w:val="Infotext"/>
        <w:jc w:val="both"/>
      </w:pPr>
      <w:hyperlink r:id="rId16" w:history="1">
        <w:r w:rsidR="00AB6725" w:rsidRPr="00F00F23">
          <w:rPr>
            <w:rStyle w:val="Hyperlink"/>
          </w:rPr>
          <w:t>HRA Budget 2020-21 and MTFS 2021-22 to 2022-23</w:t>
        </w:r>
      </w:hyperlink>
    </w:p>
    <w:p w14:paraId="7BFA4D42" w14:textId="77777777" w:rsidR="00F00F23" w:rsidRPr="00F00F23" w:rsidRDefault="00F00F23" w:rsidP="00F00F23">
      <w:pPr>
        <w:spacing w:before="480"/>
        <w:rPr>
          <w:rFonts w:ascii="Arial Black" w:hAnsi="Arial Black"/>
          <w:sz w:val="28"/>
        </w:rPr>
      </w:pPr>
      <w:r w:rsidRPr="00F00F23">
        <w:rPr>
          <w:rFonts w:ascii="Arial Black" w:hAnsi="Arial Black"/>
          <w:sz w:val="28"/>
        </w:rPr>
        <w:t>Call-in waived by the Chair of Overview and Scrutiny Committee</w:t>
      </w:r>
    </w:p>
    <w:p w14:paraId="4C72D756" w14:textId="77777777" w:rsidR="00F00F23" w:rsidRPr="00F00F23" w:rsidRDefault="00F00F23" w:rsidP="00F00F23">
      <w:pPr>
        <w:spacing w:before="240"/>
        <w:rPr>
          <w:b/>
          <w:sz w:val="28"/>
        </w:rPr>
      </w:pPr>
      <w:r w:rsidRPr="00F00F23">
        <w:rPr>
          <w:b/>
          <w:sz w:val="28"/>
        </w:rPr>
        <w:t xml:space="preserve">NO </w:t>
      </w:r>
    </w:p>
    <w:p w14:paraId="07939735" w14:textId="77777777" w:rsidR="00F00F23" w:rsidRDefault="00F00F23" w:rsidP="00AB6725">
      <w:pPr>
        <w:pStyle w:val="Infotext"/>
        <w:jc w:val="both"/>
      </w:pPr>
    </w:p>
    <w:p w14:paraId="29FEEF1E" w14:textId="34280F7E" w:rsidR="00AB6725" w:rsidRDefault="00AB6725" w:rsidP="00AB6725"/>
    <w:p w14:paraId="3D4E2A80" w14:textId="63F89C3A" w:rsidR="00AB6725" w:rsidRDefault="00AB6725" w:rsidP="00842757">
      <w:pPr>
        <w:pStyle w:val="Infotext"/>
        <w:spacing w:before="480"/>
        <w:rPr>
          <w:rFonts w:ascii="Arial Black" w:hAnsi="Arial Black"/>
        </w:rPr>
      </w:pPr>
    </w:p>
    <w:p w14:paraId="538E4D9D" w14:textId="15445322" w:rsidR="00AB6725" w:rsidRDefault="00AB6725" w:rsidP="00842757">
      <w:pPr>
        <w:pStyle w:val="Infotext"/>
        <w:spacing w:before="480"/>
        <w:rPr>
          <w:rFonts w:ascii="Arial Black" w:hAnsi="Arial Black"/>
        </w:rPr>
      </w:pPr>
    </w:p>
    <w:p w14:paraId="4D17612D" w14:textId="4C8049F1" w:rsidR="001609D7" w:rsidRDefault="001609D7" w:rsidP="00AB6725">
      <w:pPr>
        <w:rPr>
          <w:b/>
        </w:rPr>
      </w:pPr>
    </w:p>
    <w:p w14:paraId="70A18A40" w14:textId="0041A214" w:rsidR="00415742" w:rsidRDefault="00415742" w:rsidP="00AB6725">
      <w:pPr>
        <w:rPr>
          <w:b/>
        </w:rPr>
      </w:pPr>
    </w:p>
    <w:p w14:paraId="70F3913C" w14:textId="77777777" w:rsidR="00415742" w:rsidRDefault="00415742" w:rsidP="00AB6725">
      <w:pPr>
        <w:rPr>
          <w:b/>
        </w:rPr>
      </w:pPr>
    </w:p>
    <w:p w14:paraId="2B369056" w14:textId="77777777" w:rsidR="00B07F57" w:rsidRDefault="00B07F57" w:rsidP="00AB6725">
      <w:pPr>
        <w:rPr>
          <w:b/>
        </w:rPr>
      </w:pPr>
    </w:p>
    <w:p w14:paraId="674BF3E7" w14:textId="77777777" w:rsidR="00B07F57" w:rsidRDefault="00B07F57" w:rsidP="00AB6725">
      <w:pPr>
        <w:rPr>
          <w:b/>
        </w:rPr>
      </w:pPr>
    </w:p>
    <w:p w14:paraId="67D8DBC1" w14:textId="77777777" w:rsidR="00B07F57" w:rsidRDefault="00B07F57" w:rsidP="00AB6725">
      <w:pPr>
        <w:rPr>
          <w:b/>
        </w:rPr>
      </w:pPr>
    </w:p>
    <w:p w14:paraId="0573581A" w14:textId="77777777" w:rsidR="00B07F57" w:rsidRDefault="00B07F57" w:rsidP="00AB6725">
      <w:pPr>
        <w:rPr>
          <w:b/>
        </w:rPr>
      </w:pPr>
    </w:p>
    <w:p w14:paraId="3507A0E2" w14:textId="77777777" w:rsidR="00B07F57" w:rsidRDefault="00B07F57" w:rsidP="00AB6725">
      <w:pPr>
        <w:rPr>
          <w:b/>
        </w:rPr>
      </w:pPr>
    </w:p>
    <w:p w14:paraId="098E2B67" w14:textId="77777777" w:rsidR="00B07F57" w:rsidRDefault="00B07F57" w:rsidP="00AB6725">
      <w:pPr>
        <w:rPr>
          <w:b/>
        </w:rPr>
      </w:pPr>
    </w:p>
    <w:p w14:paraId="7B2FC863" w14:textId="77777777" w:rsidR="00F00F23" w:rsidRDefault="00F00F23" w:rsidP="00AB6725">
      <w:pPr>
        <w:rPr>
          <w:b/>
        </w:rPr>
      </w:pPr>
    </w:p>
    <w:p w14:paraId="73277792" w14:textId="77777777" w:rsidR="00F00F23" w:rsidRDefault="00F00F23" w:rsidP="00AB6725">
      <w:pPr>
        <w:rPr>
          <w:b/>
        </w:rPr>
      </w:pPr>
    </w:p>
    <w:p w14:paraId="4C2314C0" w14:textId="77777777" w:rsidR="00F00F23" w:rsidRDefault="00F00F23" w:rsidP="00AB6725">
      <w:pPr>
        <w:rPr>
          <w:b/>
        </w:rPr>
      </w:pPr>
    </w:p>
    <w:p w14:paraId="78DFD533" w14:textId="77777777" w:rsidR="00F00F23" w:rsidRDefault="00F00F23" w:rsidP="00AB6725">
      <w:pPr>
        <w:rPr>
          <w:b/>
        </w:rPr>
      </w:pPr>
    </w:p>
    <w:p w14:paraId="3E03025C" w14:textId="77777777" w:rsidR="00F00F23" w:rsidRDefault="00F00F23" w:rsidP="00AB6725">
      <w:pPr>
        <w:rPr>
          <w:b/>
        </w:rPr>
      </w:pPr>
    </w:p>
    <w:p w14:paraId="147E4E6E" w14:textId="77777777" w:rsidR="00F00F23" w:rsidRDefault="00F00F23" w:rsidP="00AB6725">
      <w:pPr>
        <w:rPr>
          <w:b/>
        </w:rPr>
      </w:pPr>
    </w:p>
    <w:p w14:paraId="4C937E9E" w14:textId="77777777" w:rsidR="00F00F23" w:rsidRDefault="00F00F23" w:rsidP="00AB6725">
      <w:pPr>
        <w:rPr>
          <w:b/>
        </w:rPr>
      </w:pPr>
    </w:p>
    <w:p w14:paraId="516D5721" w14:textId="77777777" w:rsidR="00F00F23" w:rsidRDefault="00F00F23" w:rsidP="00AB6725">
      <w:pPr>
        <w:rPr>
          <w:b/>
        </w:rPr>
      </w:pPr>
    </w:p>
    <w:p w14:paraId="6AB45DC2" w14:textId="77777777" w:rsidR="00F00F23" w:rsidRDefault="00F00F23" w:rsidP="00AB6725">
      <w:pPr>
        <w:rPr>
          <w:b/>
        </w:rPr>
      </w:pPr>
    </w:p>
    <w:p w14:paraId="247DD457" w14:textId="77777777" w:rsidR="00F00F23" w:rsidRDefault="00F00F23" w:rsidP="00AB6725">
      <w:pPr>
        <w:rPr>
          <w:b/>
        </w:rPr>
      </w:pPr>
    </w:p>
    <w:p w14:paraId="2E23D078" w14:textId="77777777" w:rsidR="00B07F57" w:rsidRDefault="00B07F57" w:rsidP="00AB6725">
      <w:pPr>
        <w:rPr>
          <w:b/>
        </w:rPr>
      </w:pPr>
    </w:p>
    <w:p w14:paraId="00B3C3DD" w14:textId="77777777" w:rsidR="00B07F57" w:rsidRDefault="00B07F57" w:rsidP="00AB6725">
      <w:pPr>
        <w:rPr>
          <w:b/>
        </w:rPr>
      </w:pPr>
    </w:p>
    <w:p w14:paraId="48FCDE7A" w14:textId="5A528042" w:rsidR="00AB6725" w:rsidRPr="00AB6725" w:rsidRDefault="00AB6725" w:rsidP="00AB6725">
      <w:pPr>
        <w:rPr>
          <w:b/>
        </w:rPr>
      </w:pPr>
      <w:r w:rsidRPr="00AB6725">
        <w:rPr>
          <w:b/>
        </w:rPr>
        <w:lastRenderedPageBreak/>
        <w:t>Appendix 1</w:t>
      </w:r>
      <w:r w:rsidR="00F00F23">
        <w:rPr>
          <w:b/>
        </w:rPr>
        <w:t>:</w:t>
      </w:r>
      <w:bookmarkStart w:id="1" w:name="_GoBack"/>
      <w:bookmarkEnd w:id="1"/>
      <w:r w:rsidRPr="00AB6725">
        <w:rPr>
          <w:b/>
        </w:rPr>
        <w:t xml:space="preserve"> HRA Business plan assumptions</w:t>
      </w:r>
    </w:p>
    <w:p w14:paraId="27EFBD12" w14:textId="77777777" w:rsidR="00AB6725" w:rsidRPr="00AB6725" w:rsidRDefault="00AB6725" w:rsidP="00AB6725">
      <w:pPr>
        <w:rPr>
          <w:color w:val="0070C0"/>
        </w:rPr>
      </w:pPr>
    </w:p>
    <w:tbl>
      <w:tblPr>
        <w:tblW w:w="9920" w:type="dxa"/>
        <w:tblInd w:w="113" w:type="dxa"/>
        <w:tblLook w:val="04A0" w:firstRow="1" w:lastRow="0" w:firstColumn="1" w:lastColumn="0" w:noHBand="0" w:noVBand="1"/>
      </w:tblPr>
      <w:tblGrid>
        <w:gridCol w:w="2980"/>
        <w:gridCol w:w="6940"/>
      </w:tblGrid>
      <w:tr w:rsidR="00AB6725" w:rsidRPr="00AB6725" w14:paraId="6FE8CE64" w14:textId="77777777" w:rsidTr="0082610E">
        <w:trPr>
          <w:trHeight w:val="280"/>
        </w:trPr>
        <w:tc>
          <w:tcPr>
            <w:tcW w:w="2980" w:type="dxa"/>
            <w:tcBorders>
              <w:top w:val="single" w:sz="4" w:space="0" w:color="auto"/>
              <w:left w:val="single" w:sz="4" w:space="0" w:color="auto"/>
              <w:bottom w:val="single" w:sz="4" w:space="0" w:color="auto"/>
              <w:right w:val="nil"/>
            </w:tcBorders>
            <w:shd w:val="clear" w:color="auto" w:fill="auto"/>
            <w:vAlign w:val="center"/>
            <w:hideMark/>
          </w:tcPr>
          <w:p w14:paraId="333531B5" w14:textId="77777777" w:rsidR="00AB6725" w:rsidRPr="00AB6725" w:rsidRDefault="00AB6725" w:rsidP="00AB6725">
            <w:pPr>
              <w:rPr>
                <w:rFonts w:cs="Arial"/>
                <w:b/>
                <w:bCs/>
                <w:color w:val="000000"/>
                <w:sz w:val="22"/>
                <w:szCs w:val="22"/>
                <w:lang w:eastAsia="en-GB"/>
              </w:rPr>
            </w:pPr>
            <w:r w:rsidRPr="00AB6725">
              <w:rPr>
                <w:rFonts w:cs="Arial"/>
                <w:b/>
                <w:bCs/>
                <w:color w:val="000000"/>
                <w:sz w:val="22"/>
                <w:szCs w:val="22"/>
                <w:lang w:eastAsia="en-GB"/>
              </w:rPr>
              <w:t>Item</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C240" w14:textId="77777777" w:rsidR="00AB6725" w:rsidRPr="00AB6725" w:rsidRDefault="00AB6725" w:rsidP="00AB6725">
            <w:pPr>
              <w:rPr>
                <w:rFonts w:cs="Arial"/>
                <w:b/>
                <w:bCs/>
                <w:color w:val="000000"/>
                <w:sz w:val="22"/>
                <w:szCs w:val="22"/>
                <w:lang w:eastAsia="en-GB"/>
              </w:rPr>
            </w:pPr>
            <w:r w:rsidRPr="00AB6725">
              <w:rPr>
                <w:rFonts w:cs="Arial"/>
                <w:b/>
                <w:bCs/>
                <w:color w:val="000000"/>
                <w:sz w:val="22"/>
                <w:szCs w:val="22"/>
                <w:lang w:eastAsia="en-GB"/>
              </w:rPr>
              <w:t>Assumption</w:t>
            </w:r>
          </w:p>
        </w:tc>
      </w:tr>
      <w:tr w:rsidR="00AB6725" w:rsidRPr="00AB6725" w14:paraId="662FAD42" w14:textId="77777777" w:rsidTr="0082610E">
        <w:trPr>
          <w:trHeight w:val="46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142B48F"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Inflation</w:t>
            </w:r>
          </w:p>
        </w:tc>
        <w:tc>
          <w:tcPr>
            <w:tcW w:w="6940" w:type="dxa"/>
            <w:tcBorders>
              <w:top w:val="nil"/>
              <w:left w:val="nil"/>
              <w:bottom w:val="nil"/>
              <w:right w:val="single" w:sz="4" w:space="0" w:color="auto"/>
            </w:tcBorders>
            <w:shd w:val="clear" w:color="auto" w:fill="auto"/>
            <w:vAlign w:val="center"/>
            <w:hideMark/>
          </w:tcPr>
          <w:p w14:paraId="0715B0E3"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RPI 2.9%, CPI 2% in line with long term Government target</w:t>
            </w:r>
          </w:p>
        </w:tc>
      </w:tr>
      <w:tr w:rsidR="00AB6725" w:rsidRPr="00AB6725" w14:paraId="321D09B4" w14:textId="77777777" w:rsidTr="0082610E">
        <w:trPr>
          <w:trHeight w:val="440"/>
        </w:trPr>
        <w:tc>
          <w:tcPr>
            <w:tcW w:w="2980" w:type="dxa"/>
            <w:vMerge w:val="restart"/>
            <w:tcBorders>
              <w:top w:val="nil"/>
              <w:left w:val="single" w:sz="8" w:space="0" w:color="auto"/>
              <w:bottom w:val="nil"/>
              <w:right w:val="nil"/>
            </w:tcBorders>
            <w:shd w:val="clear" w:color="auto" w:fill="auto"/>
            <w:vAlign w:val="center"/>
            <w:hideMark/>
          </w:tcPr>
          <w:p w14:paraId="4E16B10A"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Rents and service charges</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5792B455" w14:textId="2E5F60AC"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 xml:space="preserve">Non-sheltered: </w:t>
            </w:r>
            <w:proofErr w:type="spellStart"/>
            <w:r w:rsidRPr="00AB6725">
              <w:rPr>
                <w:rFonts w:cs="Arial"/>
                <w:color w:val="000000"/>
                <w:sz w:val="22"/>
                <w:szCs w:val="22"/>
                <w:lang w:eastAsia="en-GB"/>
              </w:rPr>
              <w:t>ave</w:t>
            </w:r>
            <w:proofErr w:type="spellEnd"/>
            <w:r w:rsidRPr="00AB6725">
              <w:rPr>
                <w:rFonts w:cs="Arial"/>
                <w:color w:val="000000"/>
                <w:sz w:val="22"/>
                <w:szCs w:val="22"/>
                <w:lang w:eastAsia="en-GB"/>
              </w:rPr>
              <w:t xml:space="preserve"> rent £116.28, service charge £3.25</w:t>
            </w:r>
          </w:p>
        </w:tc>
      </w:tr>
      <w:tr w:rsidR="00AB6725" w:rsidRPr="00AB6725" w14:paraId="4DE489BF" w14:textId="77777777" w:rsidTr="0082610E">
        <w:trPr>
          <w:trHeight w:val="440"/>
        </w:trPr>
        <w:tc>
          <w:tcPr>
            <w:tcW w:w="2980" w:type="dxa"/>
            <w:vMerge/>
            <w:tcBorders>
              <w:top w:val="nil"/>
              <w:left w:val="single" w:sz="8" w:space="0" w:color="auto"/>
              <w:bottom w:val="nil"/>
              <w:right w:val="nil"/>
            </w:tcBorders>
            <w:vAlign w:val="center"/>
            <w:hideMark/>
          </w:tcPr>
          <w:p w14:paraId="1F0A1CA7"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nil"/>
              <w:right w:val="single" w:sz="4" w:space="0" w:color="auto"/>
            </w:tcBorders>
            <w:shd w:val="clear" w:color="auto" w:fill="auto"/>
            <w:vAlign w:val="center"/>
            <w:hideMark/>
          </w:tcPr>
          <w:p w14:paraId="61F9F979" w14:textId="1C0C79CF"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 xml:space="preserve">Sheltered: </w:t>
            </w:r>
            <w:proofErr w:type="spellStart"/>
            <w:r w:rsidRPr="00AB6725">
              <w:rPr>
                <w:rFonts w:cs="Arial"/>
                <w:color w:val="000000"/>
                <w:sz w:val="22"/>
                <w:szCs w:val="22"/>
                <w:lang w:eastAsia="en-GB"/>
              </w:rPr>
              <w:t>ave</w:t>
            </w:r>
            <w:proofErr w:type="spellEnd"/>
            <w:r w:rsidRPr="00AB6725">
              <w:rPr>
                <w:rFonts w:cs="Arial"/>
                <w:color w:val="000000"/>
                <w:sz w:val="22"/>
                <w:szCs w:val="22"/>
                <w:lang w:eastAsia="en-GB"/>
              </w:rPr>
              <w:t xml:space="preserve"> rent £96.73, service charge £3.71</w:t>
            </w:r>
          </w:p>
        </w:tc>
      </w:tr>
      <w:tr w:rsidR="00AB6725" w:rsidRPr="00AB6725" w14:paraId="262B231C" w14:textId="77777777" w:rsidTr="0082610E">
        <w:trPr>
          <w:trHeight w:val="440"/>
        </w:trPr>
        <w:tc>
          <w:tcPr>
            <w:tcW w:w="2980" w:type="dxa"/>
            <w:vMerge/>
            <w:tcBorders>
              <w:top w:val="nil"/>
              <w:left w:val="single" w:sz="8" w:space="0" w:color="auto"/>
              <w:bottom w:val="nil"/>
              <w:right w:val="nil"/>
            </w:tcBorders>
            <w:vAlign w:val="center"/>
            <w:hideMark/>
          </w:tcPr>
          <w:p w14:paraId="538548B7"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nil"/>
              <w:right w:val="single" w:sz="4" w:space="0" w:color="auto"/>
            </w:tcBorders>
            <w:shd w:val="clear" w:color="auto" w:fill="auto"/>
            <w:vAlign w:val="center"/>
            <w:hideMark/>
          </w:tcPr>
          <w:p w14:paraId="3B4376A3" w14:textId="25A9AD14"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 xml:space="preserve">Total: </w:t>
            </w:r>
            <w:proofErr w:type="spellStart"/>
            <w:r w:rsidRPr="00AB6725">
              <w:rPr>
                <w:rFonts w:cs="Arial"/>
                <w:color w:val="000000"/>
                <w:sz w:val="22"/>
                <w:szCs w:val="22"/>
                <w:lang w:eastAsia="en-GB"/>
              </w:rPr>
              <w:t>ave</w:t>
            </w:r>
            <w:proofErr w:type="spellEnd"/>
            <w:r w:rsidRPr="00AB6725">
              <w:rPr>
                <w:rFonts w:cs="Arial"/>
                <w:color w:val="000000"/>
                <w:sz w:val="22"/>
                <w:szCs w:val="22"/>
                <w:lang w:eastAsia="en-GB"/>
              </w:rPr>
              <w:t xml:space="preserve"> rent £115.22, service charge £3.25</w:t>
            </w:r>
          </w:p>
        </w:tc>
      </w:tr>
      <w:tr w:rsidR="00AB6725" w:rsidRPr="00AB6725" w14:paraId="26C1BF9A" w14:textId="77777777" w:rsidTr="0082610E">
        <w:trPr>
          <w:trHeight w:val="440"/>
        </w:trPr>
        <w:tc>
          <w:tcPr>
            <w:tcW w:w="2980" w:type="dxa"/>
            <w:vMerge/>
            <w:tcBorders>
              <w:top w:val="nil"/>
              <w:left w:val="single" w:sz="8" w:space="0" w:color="auto"/>
              <w:bottom w:val="nil"/>
              <w:right w:val="nil"/>
            </w:tcBorders>
            <w:vAlign w:val="center"/>
            <w:hideMark/>
          </w:tcPr>
          <w:p w14:paraId="5FEE9F1E"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605B39B5"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2020/21 to 2024/25 CPI + 1%, then reverting to CPI only</w:t>
            </w:r>
          </w:p>
        </w:tc>
      </w:tr>
      <w:tr w:rsidR="00AB6725" w:rsidRPr="00AB6725" w14:paraId="5C4F8298" w14:textId="77777777" w:rsidTr="0082610E">
        <w:trPr>
          <w:trHeight w:val="46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05188"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Other income</w:t>
            </w:r>
          </w:p>
        </w:tc>
        <w:tc>
          <w:tcPr>
            <w:tcW w:w="6940" w:type="dxa"/>
            <w:tcBorders>
              <w:top w:val="nil"/>
              <w:left w:val="nil"/>
              <w:bottom w:val="single" w:sz="4" w:space="0" w:color="auto"/>
              <w:right w:val="single" w:sz="4" w:space="0" w:color="auto"/>
            </w:tcBorders>
            <w:shd w:val="clear" w:color="auto" w:fill="auto"/>
            <w:vAlign w:val="center"/>
            <w:hideMark/>
          </w:tcPr>
          <w:p w14:paraId="45A4BF66"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Facility charges 5%, Community Centres 4%, Garages 0% increase</w:t>
            </w:r>
          </w:p>
        </w:tc>
      </w:tr>
      <w:tr w:rsidR="00AB6725" w:rsidRPr="00AB6725" w14:paraId="4AF6F83A" w14:textId="77777777" w:rsidTr="0082610E">
        <w:trPr>
          <w:trHeight w:val="4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151F98D"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Bad Debt Provision</w:t>
            </w:r>
          </w:p>
        </w:tc>
        <w:tc>
          <w:tcPr>
            <w:tcW w:w="6940" w:type="dxa"/>
            <w:tcBorders>
              <w:top w:val="nil"/>
              <w:left w:val="nil"/>
              <w:bottom w:val="nil"/>
              <w:right w:val="single" w:sz="4" w:space="0" w:color="auto"/>
            </w:tcBorders>
            <w:shd w:val="clear" w:color="auto" w:fill="auto"/>
            <w:vAlign w:val="center"/>
            <w:hideMark/>
          </w:tcPr>
          <w:p w14:paraId="70DF8B7C"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£150k per annum</w:t>
            </w:r>
          </w:p>
        </w:tc>
      </w:tr>
      <w:tr w:rsidR="00AB6725" w:rsidRPr="00AB6725" w14:paraId="225BDEE9" w14:textId="77777777" w:rsidTr="0082610E">
        <w:trPr>
          <w:trHeight w:val="390"/>
        </w:trPr>
        <w:tc>
          <w:tcPr>
            <w:tcW w:w="2980" w:type="dxa"/>
            <w:vMerge w:val="restart"/>
            <w:tcBorders>
              <w:top w:val="nil"/>
              <w:left w:val="single" w:sz="4" w:space="0" w:color="auto"/>
              <w:bottom w:val="nil"/>
              <w:right w:val="nil"/>
            </w:tcBorders>
            <w:shd w:val="clear" w:color="auto" w:fill="auto"/>
            <w:vAlign w:val="center"/>
            <w:hideMark/>
          </w:tcPr>
          <w:p w14:paraId="7F9D9D5C"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RTB sales</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5CAADFE3"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2020/21 &amp; 2021/22, 24 disposals then 20 per annum</w:t>
            </w:r>
          </w:p>
        </w:tc>
      </w:tr>
      <w:tr w:rsidR="00AB6725" w:rsidRPr="00AB6725" w14:paraId="3BBD8BA3" w14:textId="77777777" w:rsidTr="0082610E">
        <w:trPr>
          <w:trHeight w:val="390"/>
        </w:trPr>
        <w:tc>
          <w:tcPr>
            <w:tcW w:w="2980" w:type="dxa"/>
            <w:vMerge/>
            <w:tcBorders>
              <w:top w:val="nil"/>
              <w:left w:val="single" w:sz="4" w:space="0" w:color="auto"/>
              <w:bottom w:val="nil"/>
              <w:right w:val="nil"/>
            </w:tcBorders>
            <w:vAlign w:val="center"/>
            <w:hideMark/>
          </w:tcPr>
          <w:p w14:paraId="39834326"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7BB3CC9D"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Average valuation £336k, average discount £111k</w:t>
            </w:r>
          </w:p>
        </w:tc>
      </w:tr>
      <w:tr w:rsidR="00AB6725" w:rsidRPr="00AB6725" w14:paraId="00C96413" w14:textId="77777777" w:rsidTr="0082610E">
        <w:trPr>
          <w:trHeight w:val="41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B591"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SSCs</w:t>
            </w:r>
          </w:p>
        </w:tc>
        <w:tc>
          <w:tcPr>
            <w:tcW w:w="6940" w:type="dxa"/>
            <w:tcBorders>
              <w:top w:val="nil"/>
              <w:left w:val="nil"/>
              <w:bottom w:val="single" w:sz="4" w:space="0" w:color="auto"/>
              <w:right w:val="single" w:sz="4" w:space="0" w:color="auto"/>
            </w:tcBorders>
            <w:shd w:val="clear" w:color="auto" w:fill="auto"/>
            <w:vAlign w:val="center"/>
            <w:hideMark/>
          </w:tcPr>
          <w:p w14:paraId="0A1C7537"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2020/21 £3.435m increasing 2% per annum</w:t>
            </w:r>
          </w:p>
        </w:tc>
      </w:tr>
      <w:tr w:rsidR="00AB6725" w:rsidRPr="00AB6725" w14:paraId="14BAC46C" w14:textId="77777777" w:rsidTr="0082610E">
        <w:trPr>
          <w:trHeight w:val="410"/>
        </w:trPr>
        <w:tc>
          <w:tcPr>
            <w:tcW w:w="29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10DD02"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Depreciation</w:t>
            </w:r>
          </w:p>
        </w:tc>
        <w:tc>
          <w:tcPr>
            <w:tcW w:w="6940" w:type="dxa"/>
            <w:tcBorders>
              <w:top w:val="nil"/>
              <w:left w:val="nil"/>
              <w:bottom w:val="nil"/>
              <w:right w:val="single" w:sz="4" w:space="0" w:color="auto"/>
            </w:tcBorders>
            <w:shd w:val="clear" w:color="auto" w:fill="auto"/>
            <w:vAlign w:val="center"/>
            <w:hideMark/>
          </w:tcPr>
          <w:p w14:paraId="26FB60BC"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Dwellings £7.508m, based on 2019/20 accounts</w:t>
            </w:r>
          </w:p>
        </w:tc>
      </w:tr>
      <w:tr w:rsidR="00AB6725" w:rsidRPr="00AB6725" w14:paraId="4853170A" w14:textId="77777777" w:rsidTr="0082610E">
        <w:trPr>
          <w:trHeight w:val="410"/>
        </w:trPr>
        <w:tc>
          <w:tcPr>
            <w:tcW w:w="2980" w:type="dxa"/>
            <w:vMerge/>
            <w:tcBorders>
              <w:top w:val="nil"/>
              <w:left w:val="single" w:sz="4" w:space="0" w:color="auto"/>
              <w:bottom w:val="single" w:sz="4" w:space="0" w:color="000000"/>
              <w:right w:val="single" w:sz="4" w:space="0" w:color="auto"/>
            </w:tcBorders>
            <w:vAlign w:val="center"/>
            <w:hideMark/>
          </w:tcPr>
          <w:p w14:paraId="5C0E1895" w14:textId="77777777" w:rsidR="00AB6725" w:rsidRPr="00AB6725" w:rsidRDefault="00AB6725" w:rsidP="00AB6725">
            <w:pPr>
              <w:rPr>
                <w:rFonts w:cs="Arial"/>
                <w:color w:val="000000"/>
                <w:sz w:val="22"/>
                <w:szCs w:val="22"/>
                <w:lang w:eastAsia="en-GB"/>
              </w:rPr>
            </w:pPr>
          </w:p>
        </w:tc>
        <w:tc>
          <w:tcPr>
            <w:tcW w:w="6940" w:type="dxa"/>
            <w:tcBorders>
              <w:top w:val="nil"/>
              <w:left w:val="nil"/>
              <w:bottom w:val="single" w:sz="4" w:space="0" w:color="auto"/>
              <w:right w:val="single" w:sz="4" w:space="0" w:color="auto"/>
            </w:tcBorders>
            <w:shd w:val="clear" w:color="auto" w:fill="auto"/>
            <w:vAlign w:val="center"/>
            <w:hideMark/>
          </w:tcPr>
          <w:p w14:paraId="23D1F28F"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Non dwellings £285k</w:t>
            </w:r>
          </w:p>
        </w:tc>
      </w:tr>
      <w:tr w:rsidR="00AB6725" w:rsidRPr="00AB6725" w14:paraId="26C52C29" w14:textId="77777777" w:rsidTr="0082610E">
        <w:trPr>
          <w:trHeight w:val="67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6A7B23A"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Capital investment expenditure - existing stock</w:t>
            </w:r>
          </w:p>
        </w:tc>
        <w:tc>
          <w:tcPr>
            <w:tcW w:w="6940" w:type="dxa"/>
            <w:tcBorders>
              <w:top w:val="nil"/>
              <w:left w:val="nil"/>
              <w:bottom w:val="single" w:sz="4" w:space="0" w:color="auto"/>
              <w:right w:val="single" w:sz="4" w:space="0" w:color="auto"/>
            </w:tcBorders>
            <w:shd w:val="clear" w:color="auto" w:fill="auto"/>
            <w:vAlign w:val="center"/>
            <w:hideMark/>
          </w:tcPr>
          <w:p w14:paraId="5A6D1B82"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£6.4m per annum first five years, equating to £1,310 per tenanted dwelling</w:t>
            </w:r>
          </w:p>
        </w:tc>
      </w:tr>
      <w:tr w:rsidR="00AB6725" w:rsidRPr="00AB6725" w14:paraId="06690DE9" w14:textId="77777777" w:rsidTr="0082610E">
        <w:trPr>
          <w:trHeight w:val="12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53BE3E1"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Repairs - all revenue expenditure &amp; overheads associated with repairs except SSCs</w:t>
            </w:r>
          </w:p>
        </w:tc>
        <w:tc>
          <w:tcPr>
            <w:tcW w:w="6940" w:type="dxa"/>
            <w:tcBorders>
              <w:top w:val="nil"/>
              <w:left w:val="nil"/>
              <w:bottom w:val="nil"/>
              <w:right w:val="single" w:sz="4" w:space="0" w:color="auto"/>
            </w:tcBorders>
            <w:shd w:val="clear" w:color="auto" w:fill="auto"/>
            <w:vAlign w:val="center"/>
            <w:hideMark/>
          </w:tcPr>
          <w:p w14:paraId="15A2176B"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£6.6m per annum first five years, equating to £1,338 per tenanted dwelling</w:t>
            </w:r>
          </w:p>
        </w:tc>
      </w:tr>
      <w:tr w:rsidR="00AB6725" w:rsidRPr="00AB6725" w14:paraId="5B43BECA" w14:textId="77777777" w:rsidTr="0082610E">
        <w:trPr>
          <w:trHeight w:val="620"/>
        </w:trPr>
        <w:tc>
          <w:tcPr>
            <w:tcW w:w="2980" w:type="dxa"/>
            <w:vMerge w:val="restart"/>
            <w:tcBorders>
              <w:top w:val="nil"/>
              <w:left w:val="single" w:sz="4" w:space="0" w:color="auto"/>
              <w:bottom w:val="single" w:sz="4" w:space="0" w:color="auto"/>
              <w:right w:val="nil"/>
            </w:tcBorders>
            <w:shd w:val="clear" w:color="auto" w:fill="auto"/>
            <w:vAlign w:val="center"/>
            <w:hideMark/>
          </w:tcPr>
          <w:p w14:paraId="0747534D"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HRA working balance</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56537887"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Set at 7% x gross income given no borrowing capacity on historic debt and macro-economic uncertainties</w:t>
            </w:r>
          </w:p>
        </w:tc>
      </w:tr>
      <w:tr w:rsidR="00AB6725" w:rsidRPr="00AB6725" w14:paraId="28150C7A" w14:textId="77777777" w:rsidTr="0082610E">
        <w:trPr>
          <w:trHeight w:val="620"/>
        </w:trPr>
        <w:tc>
          <w:tcPr>
            <w:tcW w:w="2980" w:type="dxa"/>
            <w:vMerge/>
            <w:tcBorders>
              <w:top w:val="nil"/>
              <w:left w:val="single" w:sz="4" w:space="0" w:color="auto"/>
              <w:bottom w:val="single" w:sz="4" w:space="0" w:color="auto"/>
              <w:right w:val="nil"/>
            </w:tcBorders>
            <w:vAlign w:val="center"/>
            <w:hideMark/>
          </w:tcPr>
          <w:p w14:paraId="50FB2CDD"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nil"/>
              <w:right w:val="single" w:sz="4" w:space="0" w:color="auto"/>
            </w:tcBorders>
            <w:shd w:val="clear" w:color="auto" w:fill="auto"/>
            <w:vAlign w:val="center"/>
            <w:hideMark/>
          </w:tcPr>
          <w:p w14:paraId="4EF50030"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Revenue account minimum balances not breached.</w:t>
            </w:r>
          </w:p>
        </w:tc>
      </w:tr>
      <w:tr w:rsidR="00AB6725" w:rsidRPr="00AB6725" w14:paraId="63AFEF3B" w14:textId="77777777" w:rsidTr="0082610E">
        <w:trPr>
          <w:trHeight w:val="550"/>
        </w:trPr>
        <w:tc>
          <w:tcPr>
            <w:tcW w:w="2980" w:type="dxa"/>
            <w:vMerge w:val="restart"/>
            <w:tcBorders>
              <w:top w:val="nil"/>
              <w:left w:val="single" w:sz="4" w:space="0" w:color="auto"/>
              <w:bottom w:val="single" w:sz="4" w:space="0" w:color="auto"/>
              <w:right w:val="nil"/>
            </w:tcBorders>
            <w:shd w:val="clear" w:color="auto" w:fill="auto"/>
            <w:vAlign w:val="center"/>
            <w:hideMark/>
          </w:tcPr>
          <w:p w14:paraId="4A8C7265"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Borrowing and interest</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090D70E0"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Historic debt £149.924m at 4.05%, repayments linked to RTB, shared pool with General Fund</w:t>
            </w:r>
          </w:p>
        </w:tc>
      </w:tr>
      <w:tr w:rsidR="00AB6725" w:rsidRPr="00AB6725" w14:paraId="5039D4CD" w14:textId="77777777" w:rsidTr="0082610E">
        <w:trPr>
          <w:trHeight w:val="550"/>
        </w:trPr>
        <w:tc>
          <w:tcPr>
            <w:tcW w:w="2980" w:type="dxa"/>
            <w:vMerge/>
            <w:tcBorders>
              <w:top w:val="nil"/>
              <w:left w:val="single" w:sz="4" w:space="0" w:color="auto"/>
              <w:bottom w:val="single" w:sz="4" w:space="0" w:color="auto"/>
              <w:right w:val="nil"/>
            </w:tcBorders>
            <w:vAlign w:val="center"/>
            <w:hideMark/>
          </w:tcPr>
          <w:p w14:paraId="6F798A90"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nil"/>
              <w:right w:val="single" w:sz="4" w:space="0" w:color="auto"/>
            </w:tcBorders>
            <w:shd w:val="clear" w:color="auto" w:fill="auto"/>
            <w:vAlign w:val="center"/>
            <w:hideMark/>
          </w:tcPr>
          <w:p w14:paraId="24C5B83D"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 xml:space="preserve">New debt to support </w:t>
            </w:r>
            <w:proofErr w:type="spellStart"/>
            <w:r w:rsidRPr="00AB6725">
              <w:rPr>
                <w:rFonts w:cs="Arial"/>
                <w:color w:val="000000"/>
                <w:sz w:val="22"/>
                <w:szCs w:val="22"/>
                <w:lang w:eastAsia="en-GB"/>
              </w:rPr>
              <w:t>BCHfL</w:t>
            </w:r>
            <w:proofErr w:type="spellEnd"/>
            <w:r w:rsidRPr="00AB6725">
              <w:rPr>
                <w:rFonts w:cs="Arial"/>
                <w:color w:val="000000"/>
                <w:sz w:val="22"/>
                <w:szCs w:val="22"/>
                <w:lang w:eastAsia="en-GB"/>
              </w:rPr>
              <w:t xml:space="preserve"> £73.1m 3%, no repayments assumed</w:t>
            </w:r>
          </w:p>
        </w:tc>
      </w:tr>
      <w:tr w:rsidR="00AB6725" w:rsidRPr="00AB6725" w14:paraId="43B9665B" w14:textId="77777777" w:rsidTr="0082610E">
        <w:trPr>
          <w:trHeight w:val="550"/>
        </w:trPr>
        <w:tc>
          <w:tcPr>
            <w:tcW w:w="2980" w:type="dxa"/>
            <w:vMerge/>
            <w:tcBorders>
              <w:top w:val="nil"/>
              <w:left w:val="single" w:sz="4" w:space="0" w:color="auto"/>
              <w:bottom w:val="single" w:sz="4" w:space="0" w:color="auto"/>
              <w:right w:val="nil"/>
            </w:tcBorders>
            <w:vAlign w:val="center"/>
            <w:hideMark/>
          </w:tcPr>
          <w:p w14:paraId="55A591BD"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nil"/>
              <w:right w:val="single" w:sz="4" w:space="0" w:color="auto"/>
            </w:tcBorders>
            <w:shd w:val="clear" w:color="auto" w:fill="auto"/>
            <w:vAlign w:val="center"/>
            <w:hideMark/>
          </w:tcPr>
          <w:p w14:paraId="4BD4F49F"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No requirement for MRP</w:t>
            </w:r>
          </w:p>
        </w:tc>
      </w:tr>
      <w:tr w:rsidR="00AB6725" w:rsidRPr="00AB6725" w14:paraId="7C0CEBC5" w14:textId="77777777" w:rsidTr="0082610E">
        <w:trPr>
          <w:trHeight w:val="680"/>
        </w:trPr>
        <w:tc>
          <w:tcPr>
            <w:tcW w:w="2980" w:type="dxa"/>
            <w:vMerge w:val="restart"/>
            <w:tcBorders>
              <w:top w:val="nil"/>
              <w:left w:val="single" w:sz="4" w:space="0" w:color="auto"/>
              <w:bottom w:val="single" w:sz="4" w:space="0" w:color="auto"/>
              <w:right w:val="nil"/>
            </w:tcBorders>
            <w:shd w:val="clear" w:color="auto" w:fill="auto"/>
            <w:vAlign w:val="center"/>
            <w:hideMark/>
          </w:tcPr>
          <w:p w14:paraId="3A988ECB"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External funding</w:t>
            </w:r>
          </w:p>
        </w:tc>
        <w:tc>
          <w:tcPr>
            <w:tcW w:w="6940" w:type="dxa"/>
            <w:tcBorders>
              <w:top w:val="single" w:sz="4" w:space="0" w:color="auto"/>
              <w:left w:val="single" w:sz="4" w:space="0" w:color="auto"/>
              <w:bottom w:val="nil"/>
              <w:right w:val="single" w:sz="4" w:space="0" w:color="auto"/>
            </w:tcBorders>
            <w:shd w:val="clear" w:color="auto" w:fill="auto"/>
            <w:vAlign w:val="center"/>
            <w:hideMark/>
          </w:tcPr>
          <w:p w14:paraId="09AAE481"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HIF £10m</w:t>
            </w:r>
          </w:p>
        </w:tc>
      </w:tr>
      <w:tr w:rsidR="00AB6725" w:rsidRPr="00AB6725" w14:paraId="25AF0B12" w14:textId="77777777" w:rsidTr="0082610E">
        <w:trPr>
          <w:trHeight w:val="680"/>
        </w:trPr>
        <w:tc>
          <w:tcPr>
            <w:tcW w:w="2980" w:type="dxa"/>
            <w:vMerge/>
            <w:tcBorders>
              <w:top w:val="nil"/>
              <w:left w:val="single" w:sz="4" w:space="0" w:color="auto"/>
              <w:bottom w:val="single" w:sz="4" w:space="0" w:color="auto"/>
              <w:right w:val="nil"/>
            </w:tcBorders>
            <w:vAlign w:val="center"/>
            <w:hideMark/>
          </w:tcPr>
          <w:p w14:paraId="16BDECA4"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nil"/>
              <w:right w:val="single" w:sz="4" w:space="0" w:color="auto"/>
            </w:tcBorders>
            <w:shd w:val="clear" w:color="auto" w:fill="auto"/>
            <w:vAlign w:val="center"/>
            <w:hideMark/>
          </w:tcPr>
          <w:p w14:paraId="0F2BFDAA"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GLA £32.144m</w:t>
            </w:r>
          </w:p>
        </w:tc>
      </w:tr>
      <w:tr w:rsidR="00AB6725" w:rsidRPr="00AB6725" w14:paraId="1400DC90" w14:textId="77777777" w:rsidTr="0082610E">
        <w:trPr>
          <w:trHeight w:val="680"/>
        </w:trPr>
        <w:tc>
          <w:tcPr>
            <w:tcW w:w="2980" w:type="dxa"/>
            <w:vMerge/>
            <w:tcBorders>
              <w:top w:val="nil"/>
              <w:left w:val="single" w:sz="4" w:space="0" w:color="auto"/>
              <w:bottom w:val="single" w:sz="4" w:space="0" w:color="auto"/>
              <w:right w:val="nil"/>
            </w:tcBorders>
            <w:vAlign w:val="center"/>
            <w:hideMark/>
          </w:tcPr>
          <w:p w14:paraId="474880BD" w14:textId="77777777" w:rsidR="00AB6725" w:rsidRPr="00AB6725" w:rsidRDefault="00AB6725" w:rsidP="00AB6725">
            <w:pPr>
              <w:rPr>
                <w:rFonts w:cs="Arial"/>
                <w:color w:val="000000"/>
                <w:sz w:val="22"/>
                <w:szCs w:val="22"/>
                <w:lang w:eastAsia="en-GB"/>
              </w:rPr>
            </w:pPr>
          </w:p>
        </w:tc>
        <w:tc>
          <w:tcPr>
            <w:tcW w:w="6940" w:type="dxa"/>
            <w:tcBorders>
              <w:top w:val="nil"/>
              <w:left w:val="single" w:sz="4" w:space="0" w:color="auto"/>
              <w:bottom w:val="single" w:sz="4" w:space="0" w:color="auto"/>
              <w:right w:val="single" w:sz="4" w:space="0" w:color="auto"/>
            </w:tcBorders>
            <w:shd w:val="clear" w:color="auto" w:fill="auto"/>
            <w:vAlign w:val="center"/>
            <w:hideMark/>
          </w:tcPr>
          <w:p w14:paraId="437FAC46" w14:textId="77777777" w:rsidR="00AB6725" w:rsidRPr="00AB6725" w:rsidRDefault="00AB6725" w:rsidP="00AB6725">
            <w:pPr>
              <w:rPr>
                <w:rFonts w:cs="Arial"/>
                <w:color w:val="000000"/>
                <w:sz w:val="22"/>
                <w:szCs w:val="22"/>
                <w:lang w:eastAsia="en-GB"/>
              </w:rPr>
            </w:pPr>
            <w:r w:rsidRPr="00AB6725">
              <w:rPr>
                <w:rFonts w:cs="Arial"/>
                <w:color w:val="000000"/>
                <w:sz w:val="22"/>
                <w:szCs w:val="22"/>
                <w:lang w:eastAsia="en-GB"/>
              </w:rPr>
              <w:t xml:space="preserve">RTB receipts recycled as Affordable </w:t>
            </w:r>
            <w:proofErr w:type="spellStart"/>
            <w:r w:rsidRPr="00AB6725">
              <w:rPr>
                <w:rFonts w:cs="Arial"/>
                <w:color w:val="000000"/>
                <w:sz w:val="22"/>
                <w:szCs w:val="22"/>
                <w:lang w:eastAsia="en-GB"/>
              </w:rPr>
              <w:t>Hsg</w:t>
            </w:r>
            <w:proofErr w:type="spellEnd"/>
            <w:r w:rsidRPr="00AB6725">
              <w:rPr>
                <w:rFonts w:cs="Arial"/>
                <w:color w:val="000000"/>
                <w:sz w:val="22"/>
                <w:szCs w:val="22"/>
                <w:lang w:eastAsia="en-GB"/>
              </w:rPr>
              <w:t xml:space="preserve"> Grant £3.073m, no further applications assumed</w:t>
            </w:r>
          </w:p>
        </w:tc>
      </w:tr>
    </w:tbl>
    <w:p w14:paraId="001A3FB5" w14:textId="77777777" w:rsidR="00AB6725" w:rsidRPr="00AB6725" w:rsidRDefault="00AB6725" w:rsidP="00AB6725">
      <w:pPr>
        <w:rPr>
          <w:b/>
          <w:color w:val="0070C0"/>
          <w:highlight w:val="yellow"/>
        </w:rPr>
      </w:pPr>
    </w:p>
    <w:p w14:paraId="0A0AA97F" w14:textId="77777777" w:rsidR="00AB6725" w:rsidRPr="00AB6725" w:rsidRDefault="00AB6725" w:rsidP="00AB6725">
      <w:pPr>
        <w:rPr>
          <w:b/>
          <w:color w:val="0070C0"/>
          <w:highlight w:val="yellow"/>
        </w:rPr>
      </w:pPr>
    </w:p>
    <w:p w14:paraId="56151D17" w14:textId="77777777" w:rsidR="00AB6725" w:rsidRPr="00AB6725" w:rsidRDefault="00AB6725" w:rsidP="00AB6725">
      <w:pPr>
        <w:rPr>
          <w:b/>
          <w:color w:val="0070C0"/>
          <w:highlight w:val="yellow"/>
        </w:rPr>
        <w:sectPr w:rsidR="00AB6725" w:rsidRPr="00AB6725" w:rsidSect="0082610E">
          <w:headerReference w:type="default" r:id="rId17"/>
          <w:headerReference w:type="first" r:id="rId18"/>
          <w:footerReference w:type="first" r:id="rId19"/>
          <w:pgSz w:w="11909" w:h="16834" w:code="9"/>
          <w:pgMar w:top="720" w:right="720" w:bottom="720" w:left="720" w:header="720" w:footer="432" w:gutter="0"/>
          <w:cols w:space="720"/>
          <w:titlePg/>
          <w:docGrid w:linePitch="360"/>
        </w:sectPr>
      </w:pPr>
    </w:p>
    <w:tbl>
      <w:tblPr>
        <w:tblW w:w="15167" w:type="dxa"/>
        <w:tblLook w:val="04A0" w:firstRow="1" w:lastRow="0" w:firstColumn="1" w:lastColumn="0" w:noHBand="0" w:noVBand="1"/>
      </w:tblPr>
      <w:tblGrid>
        <w:gridCol w:w="941"/>
        <w:gridCol w:w="1059"/>
        <w:gridCol w:w="992"/>
        <w:gridCol w:w="992"/>
        <w:gridCol w:w="1103"/>
        <w:gridCol w:w="882"/>
        <w:gridCol w:w="571"/>
        <w:gridCol w:w="64"/>
        <w:gridCol w:w="1250"/>
        <w:gridCol w:w="104"/>
        <w:gridCol w:w="909"/>
        <w:gridCol w:w="283"/>
        <w:gridCol w:w="778"/>
        <w:gridCol w:w="498"/>
        <w:gridCol w:w="1417"/>
        <w:gridCol w:w="236"/>
        <w:gridCol w:w="756"/>
        <w:gridCol w:w="204"/>
        <w:gridCol w:w="930"/>
        <w:gridCol w:w="1134"/>
        <w:gridCol w:w="64"/>
      </w:tblGrid>
      <w:tr w:rsidR="00AB6725" w:rsidRPr="00AB6725" w14:paraId="31BD9000" w14:textId="77777777" w:rsidTr="0082610E">
        <w:trPr>
          <w:trHeight w:val="288"/>
        </w:trPr>
        <w:tc>
          <w:tcPr>
            <w:tcW w:w="5969" w:type="dxa"/>
            <w:gridSpan w:val="6"/>
            <w:tcBorders>
              <w:top w:val="nil"/>
              <w:left w:val="nil"/>
              <w:bottom w:val="single" w:sz="4" w:space="0" w:color="auto"/>
              <w:right w:val="nil"/>
            </w:tcBorders>
            <w:shd w:val="clear" w:color="auto" w:fill="auto"/>
            <w:noWrap/>
            <w:vAlign w:val="bottom"/>
            <w:hideMark/>
          </w:tcPr>
          <w:p w14:paraId="0309ED2B" w14:textId="21A53798" w:rsidR="00AB6725" w:rsidRPr="00AB6725" w:rsidRDefault="00AB6725" w:rsidP="00F00F23">
            <w:pPr>
              <w:rPr>
                <w:rFonts w:cs="Arial"/>
                <w:b/>
                <w:bCs/>
                <w:szCs w:val="24"/>
                <w:lang w:eastAsia="en-GB"/>
              </w:rPr>
            </w:pPr>
            <w:r w:rsidRPr="00AB6725">
              <w:rPr>
                <w:rFonts w:cs="Arial"/>
                <w:b/>
                <w:bCs/>
                <w:szCs w:val="24"/>
                <w:lang w:eastAsia="en-GB"/>
              </w:rPr>
              <w:lastRenderedPageBreak/>
              <w:t>Appendix 2</w:t>
            </w:r>
            <w:r w:rsidR="00F00F23">
              <w:rPr>
                <w:rFonts w:cs="Arial"/>
                <w:b/>
                <w:bCs/>
                <w:szCs w:val="24"/>
                <w:lang w:eastAsia="en-GB"/>
              </w:rPr>
              <w:t>:</w:t>
            </w:r>
            <w:r w:rsidRPr="00AB6725">
              <w:rPr>
                <w:rFonts w:cs="Arial"/>
                <w:b/>
                <w:bCs/>
                <w:szCs w:val="24"/>
                <w:lang w:eastAsia="en-GB"/>
              </w:rPr>
              <w:t xml:space="preserve"> HRA Revenue account projections</w:t>
            </w:r>
          </w:p>
        </w:tc>
        <w:tc>
          <w:tcPr>
            <w:tcW w:w="635" w:type="dxa"/>
            <w:gridSpan w:val="2"/>
            <w:tcBorders>
              <w:top w:val="nil"/>
              <w:left w:val="nil"/>
              <w:bottom w:val="single" w:sz="4" w:space="0" w:color="auto"/>
              <w:right w:val="nil"/>
            </w:tcBorders>
            <w:shd w:val="clear" w:color="auto" w:fill="auto"/>
            <w:noWrap/>
            <w:vAlign w:val="bottom"/>
            <w:hideMark/>
          </w:tcPr>
          <w:p w14:paraId="2EDC2B71" w14:textId="77777777" w:rsidR="00AB6725" w:rsidRPr="00AB6725" w:rsidRDefault="00AB6725" w:rsidP="00AB6725">
            <w:pPr>
              <w:rPr>
                <w:rFonts w:cs="Arial"/>
                <w:b/>
                <w:bCs/>
                <w:sz w:val="18"/>
                <w:szCs w:val="18"/>
                <w:lang w:eastAsia="en-GB"/>
              </w:rPr>
            </w:pPr>
          </w:p>
        </w:tc>
        <w:tc>
          <w:tcPr>
            <w:tcW w:w="1250" w:type="dxa"/>
            <w:tcBorders>
              <w:top w:val="nil"/>
              <w:left w:val="nil"/>
              <w:bottom w:val="single" w:sz="4" w:space="0" w:color="auto"/>
              <w:right w:val="nil"/>
            </w:tcBorders>
            <w:shd w:val="clear" w:color="auto" w:fill="auto"/>
            <w:noWrap/>
            <w:vAlign w:val="bottom"/>
            <w:hideMark/>
          </w:tcPr>
          <w:p w14:paraId="4F7B56F5" w14:textId="77777777" w:rsidR="00AB6725" w:rsidRPr="00AB6725" w:rsidRDefault="00AB6725" w:rsidP="00AB6725">
            <w:pPr>
              <w:rPr>
                <w:rFonts w:cs="Arial"/>
                <w:b/>
                <w:bCs/>
                <w:sz w:val="18"/>
                <w:szCs w:val="18"/>
                <w:lang w:eastAsia="en-GB"/>
              </w:rPr>
            </w:pPr>
          </w:p>
        </w:tc>
        <w:tc>
          <w:tcPr>
            <w:tcW w:w="1013" w:type="dxa"/>
            <w:gridSpan w:val="2"/>
            <w:tcBorders>
              <w:top w:val="nil"/>
              <w:left w:val="nil"/>
              <w:bottom w:val="single" w:sz="4" w:space="0" w:color="auto"/>
              <w:right w:val="nil"/>
            </w:tcBorders>
            <w:shd w:val="clear" w:color="auto" w:fill="auto"/>
            <w:noWrap/>
            <w:vAlign w:val="bottom"/>
            <w:hideMark/>
          </w:tcPr>
          <w:p w14:paraId="49C3DBBB" w14:textId="77777777" w:rsidR="00AB6725" w:rsidRPr="00AB6725" w:rsidRDefault="00AB6725" w:rsidP="00AB6725">
            <w:pPr>
              <w:rPr>
                <w:rFonts w:cs="Arial"/>
                <w:b/>
                <w:bCs/>
                <w:sz w:val="18"/>
                <w:szCs w:val="18"/>
                <w:lang w:eastAsia="en-GB"/>
              </w:rPr>
            </w:pPr>
          </w:p>
        </w:tc>
        <w:tc>
          <w:tcPr>
            <w:tcW w:w="1061" w:type="dxa"/>
            <w:gridSpan w:val="2"/>
            <w:tcBorders>
              <w:top w:val="nil"/>
              <w:left w:val="nil"/>
              <w:bottom w:val="single" w:sz="4" w:space="0" w:color="auto"/>
              <w:right w:val="nil"/>
            </w:tcBorders>
            <w:shd w:val="clear" w:color="auto" w:fill="auto"/>
            <w:noWrap/>
            <w:vAlign w:val="bottom"/>
            <w:hideMark/>
          </w:tcPr>
          <w:p w14:paraId="79D16FE5" w14:textId="77777777" w:rsidR="00AB6725" w:rsidRPr="00AB6725" w:rsidRDefault="00AB6725" w:rsidP="00AB6725">
            <w:pPr>
              <w:rPr>
                <w:rFonts w:cs="Arial"/>
                <w:b/>
                <w:bCs/>
                <w:sz w:val="18"/>
                <w:szCs w:val="18"/>
                <w:lang w:eastAsia="en-GB"/>
              </w:rPr>
            </w:pPr>
          </w:p>
        </w:tc>
        <w:tc>
          <w:tcPr>
            <w:tcW w:w="1915" w:type="dxa"/>
            <w:gridSpan w:val="2"/>
            <w:tcBorders>
              <w:top w:val="nil"/>
              <w:left w:val="nil"/>
              <w:bottom w:val="single" w:sz="4" w:space="0" w:color="auto"/>
              <w:right w:val="nil"/>
            </w:tcBorders>
            <w:shd w:val="clear" w:color="auto" w:fill="auto"/>
            <w:noWrap/>
            <w:vAlign w:val="bottom"/>
            <w:hideMark/>
          </w:tcPr>
          <w:p w14:paraId="72BE91A9" w14:textId="77777777" w:rsidR="00AB6725" w:rsidRPr="00AB6725" w:rsidRDefault="00AB6725" w:rsidP="00AB6725">
            <w:pPr>
              <w:rPr>
                <w:rFonts w:cs="Arial"/>
                <w:b/>
                <w:bCs/>
                <w:sz w:val="18"/>
                <w:szCs w:val="18"/>
                <w:lang w:eastAsia="en-GB"/>
              </w:rPr>
            </w:pPr>
          </w:p>
        </w:tc>
        <w:tc>
          <w:tcPr>
            <w:tcW w:w="236" w:type="dxa"/>
            <w:tcBorders>
              <w:top w:val="nil"/>
              <w:left w:val="nil"/>
              <w:bottom w:val="single" w:sz="4" w:space="0" w:color="auto"/>
              <w:right w:val="nil"/>
            </w:tcBorders>
            <w:shd w:val="clear" w:color="auto" w:fill="auto"/>
            <w:noWrap/>
            <w:vAlign w:val="bottom"/>
            <w:hideMark/>
          </w:tcPr>
          <w:p w14:paraId="13E6E8C6" w14:textId="77777777" w:rsidR="00AB6725" w:rsidRPr="00AB6725" w:rsidRDefault="00AB6725" w:rsidP="00AB6725">
            <w:pPr>
              <w:rPr>
                <w:rFonts w:cs="Arial"/>
                <w:b/>
                <w:bCs/>
                <w:sz w:val="18"/>
                <w:szCs w:val="18"/>
                <w:lang w:eastAsia="en-GB"/>
              </w:rPr>
            </w:pPr>
          </w:p>
        </w:tc>
        <w:tc>
          <w:tcPr>
            <w:tcW w:w="960" w:type="dxa"/>
            <w:gridSpan w:val="2"/>
            <w:tcBorders>
              <w:top w:val="nil"/>
              <w:left w:val="nil"/>
              <w:bottom w:val="single" w:sz="4" w:space="0" w:color="auto"/>
              <w:right w:val="nil"/>
            </w:tcBorders>
            <w:shd w:val="clear" w:color="auto" w:fill="auto"/>
            <w:noWrap/>
            <w:vAlign w:val="bottom"/>
            <w:hideMark/>
          </w:tcPr>
          <w:p w14:paraId="1C7CA875" w14:textId="77777777" w:rsidR="00AB6725" w:rsidRPr="00AB6725" w:rsidRDefault="00AB6725" w:rsidP="00AB6725">
            <w:pPr>
              <w:rPr>
                <w:rFonts w:cs="Arial"/>
                <w:b/>
                <w:bCs/>
                <w:sz w:val="18"/>
                <w:szCs w:val="18"/>
                <w:lang w:eastAsia="en-GB"/>
              </w:rPr>
            </w:pPr>
          </w:p>
        </w:tc>
        <w:tc>
          <w:tcPr>
            <w:tcW w:w="2128" w:type="dxa"/>
            <w:gridSpan w:val="3"/>
            <w:tcBorders>
              <w:top w:val="nil"/>
              <w:left w:val="nil"/>
              <w:bottom w:val="single" w:sz="4" w:space="0" w:color="auto"/>
              <w:right w:val="nil"/>
            </w:tcBorders>
            <w:shd w:val="clear" w:color="auto" w:fill="auto"/>
            <w:noWrap/>
            <w:vAlign w:val="bottom"/>
            <w:hideMark/>
          </w:tcPr>
          <w:p w14:paraId="755750A4" w14:textId="77777777" w:rsidR="00AB6725" w:rsidRPr="00AB6725" w:rsidRDefault="00AB6725" w:rsidP="00AB6725">
            <w:pPr>
              <w:rPr>
                <w:rFonts w:cs="Arial"/>
                <w:b/>
                <w:bCs/>
                <w:sz w:val="18"/>
                <w:szCs w:val="18"/>
                <w:lang w:eastAsia="en-GB"/>
              </w:rPr>
            </w:pPr>
          </w:p>
        </w:tc>
      </w:tr>
      <w:tr w:rsidR="00AB6725" w:rsidRPr="00AB6725" w14:paraId="254F4D3B" w14:textId="77777777" w:rsidTr="0082610E">
        <w:trPr>
          <w:gridAfter w:val="1"/>
          <w:wAfter w:w="64" w:type="dxa"/>
          <w:trHeight w:val="288"/>
        </w:trPr>
        <w:tc>
          <w:tcPr>
            <w:tcW w:w="941" w:type="dxa"/>
            <w:vMerge w:val="restart"/>
            <w:tcBorders>
              <w:top w:val="single" w:sz="4" w:space="0" w:color="auto"/>
              <w:left w:val="single" w:sz="4" w:space="0" w:color="auto"/>
              <w:right w:val="single" w:sz="4" w:space="0" w:color="auto"/>
            </w:tcBorders>
            <w:shd w:val="clear" w:color="auto" w:fill="auto"/>
            <w:noWrap/>
            <w:vAlign w:val="bottom"/>
            <w:hideMark/>
          </w:tcPr>
          <w:p w14:paraId="504A238B"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£’000s / Year</w:t>
            </w:r>
          </w:p>
        </w:tc>
        <w:tc>
          <w:tcPr>
            <w:tcW w:w="30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279A4" w14:textId="77777777" w:rsidR="00AB6725" w:rsidRPr="00AB6725" w:rsidRDefault="00AB6725" w:rsidP="00AB6725">
            <w:pPr>
              <w:jc w:val="center"/>
              <w:rPr>
                <w:rFonts w:cs="Arial"/>
                <w:b/>
                <w:bCs/>
                <w:sz w:val="18"/>
                <w:szCs w:val="18"/>
                <w:lang w:eastAsia="en-GB"/>
              </w:rPr>
            </w:pPr>
            <w:r w:rsidRPr="00AB6725">
              <w:rPr>
                <w:rFonts w:cs="Arial"/>
                <w:b/>
                <w:bCs/>
                <w:sz w:val="18"/>
                <w:szCs w:val="18"/>
                <w:lang w:eastAsia="en-GB"/>
              </w:rPr>
              <w:t>Income</w:t>
            </w:r>
          </w:p>
        </w:tc>
        <w:tc>
          <w:tcPr>
            <w:tcW w:w="785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162DE" w14:textId="77777777" w:rsidR="00AB6725" w:rsidRPr="00AB6725" w:rsidRDefault="00AB6725" w:rsidP="00AB6725">
            <w:pPr>
              <w:jc w:val="center"/>
              <w:rPr>
                <w:rFonts w:cs="Arial"/>
                <w:b/>
                <w:bCs/>
                <w:sz w:val="18"/>
                <w:szCs w:val="18"/>
                <w:lang w:eastAsia="en-GB"/>
              </w:rPr>
            </w:pPr>
            <w:r w:rsidRPr="00AB6725">
              <w:rPr>
                <w:rFonts w:cs="Arial"/>
                <w:b/>
                <w:bCs/>
                <w:sz w:val="18"/>
                <w:szCs w:val="18"/>
                <w:lang w:eastAsia="en-GB"/>
              </w:rPr>
              <w:t>Expenditure</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B3C4" w14:textId="77777777" w:rsidR="00AB6725" w:rsidRPr="00AB6725" w:rsidRDefault="00AB6725" w:rsidP="00AB6725">
            <w:pPr>
              <w:jc w:val="center"/>
              <w:rPr>
                <w:rFonts w:cs="Arial"/>
                <w:b/>
                <w:bCs/>
                <w:sz w:val="18"/>
                <w:szCs w:val="18"/>
                <w:lang w:eastAsia="en-GB"/>
              </w:rPr>
            </w:pPr>
            <w:r w:rsidRPr="00AB6725">
              <w:rPr>
                <w:rFonts w:cs="Arial"/>
                <w:b/>
                <w:bCs/>
                <w:sz w:val="18"/>
                <w:szCs w:val="18"/>
                <w:lang w:eastAsia="en-GB"/>
              </w:rPr>
              <w:t>Net</w:t>
            </w:r>
          </w:p>
        </w:tc>
      </w:tr>
      <w:tr w:rsidR="00AB6725" w:rsidRPr="00AB6725" w14:paraId="4F778A4C" w14:textId="77777777" w:rsidTr="0082610E">
        <w:trPr>
          <w:gridAfter w:val="1"/>
          <w:wAfter w:w="64" w:type="dxa"/>
          <w:trHeight w:val="1152"/>
        </w:trPr>
        <w:tc>
          <w:tcPr>
            <w:tcW w:w="941" w:type="dxa"/>
            <w:vMerge/>
            <w:tcBorders>
              <w:left w:val="single" w:sz="4" w:space="0" w:color="auto"/>
              <w:bottom w:val="single" w:sz="4" w:space="0" w:color="auto"/>
              <w:right w:val="single" w:sz="4" w:space="0" w:color="auto"/>
            </w:tcBorders>
            <w:shd w:val="clear" w:color="auto" w:fill="auto"/>
            <w:noWrap/>
            <w:vAlign w:val="bottom"/>
            <w:hideMark/>
          </w:tcPr>
          <w:p w14:paraId="6E52A0E7" w14:textId="77777777" w:rsidR="00AB6725" w:rsidRPr="00AB6725" w:rsidRDefault="00AB6725" w:rsidP="00AB6725">
            <w:pPr>
              <w:jc w:val="right"/>
              <w:rPr>
                <w:rFonts w:cs="Arial"/>
                <w:b/>
                <w:bCs/>
                <w:sz w:val="18"/>
                <w:szCs w:val="18"/>
                <w:lang w:eastAsia="en-GB"/>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3C144"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Net rent Income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A3795"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Other income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2F592"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Total Income</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39C7C" w14:textId="77777777" w:rsidR="00AB6725" w:rsidRPr="00AB6725" w:rsidRDefault="00AB6725" w:rsidP="00AB6725">
            <w:pPr>
              <w:jc w:val="right"/>
              <w:rPr>
                <w:rFonts w:cs="Arial"/>
                <w:b/>
                <w:bCs/>
                <w:sz w:val="18"/>
                <w:szCs w:val="18"/>
                <w:lang w:eastAsia="en-GB"/>
              </w:rPr>
            </w:pPr>
            <w:proofErr w:type="spellStart"/>
            <w:r w:rsidRPr="00AB6725">
              <w:rPr>
                <w:rFonts w:cs="Arial"/>
                <w:b/>
                <w:bCs/>
                <w:sz w:val="18"/>
                <w:szCs w:val="18"/>
                <w:lang w:eastAsia="en-GB"/>
              </w:rPr>
              <w:t>Managt</w:t>
            </w:r>
            <w:proofErr w:type="spellEnd"/>
            <w:r w:rsidRPr="00AB6725">
              <w:rPr>
                <w:rFonts w:cs="Arial"/>
                <w:b/>
                <w:bCs/>
                <w:sz w:val="18"/>
                <w:szCs w:val="18"/>
                <w:lang w:eastAsia="en-GB"/>
              </w:rPr>
              <w:t>.</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70E99"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Depreciation</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B67DD59"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Responsive &amp; Cyclical</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A36A09"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Other Revenue spend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27B8C8"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Total expenses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89E83"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Interest, RCCO, transfer to/from earmarked reserves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15B07F"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Surplus (Deficit) for the Year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20FF16"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Surplus (Deficit) b/</w:t>
            </w:r>
            <w:proofErr w:type="spellStart"/>
            <w:r w:rsidRPr="00AB6725">
              <w:rPr>
                <w:rFonts w:cs="Arial"/>
                <w:b/>
                <w:bCs/>
                <w:sz w:val="18"/>
                <w:szCs w:val="18"/>
                <w:lang w:eastAsia="en-GB"/>
              </w:rPr>
              <w:t>fwd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E6B341"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Surplus (Deficit) c/</w:t>
            </w:r>
            <w:proofErr w:type="spellStart"/>
            <w:r w:rsidRPr="00AB6725">
              <w:rPr>
                <w:rFonts w:cs="Arial"/>
                <w:b/>
                <w:bCs/>
                <w:sz w:val="18"/>
                <w:szCs w:val="18"/>
                <w:lang w:eastAsia="en-GB"/>
              </w:rPr>
              <w:t>fwd</w:t>
            </w:r>
            <w:proofErr w:type="spellEnd"/>
          </w:p>
        </w:tc>
      </w:tr>
      <w:tr w:rsidR="00AB6725" w:rsidRPr="00AB6725" w14:paraId="66B8CBE6" w14:textId="77777777" w:rsidTr="0082610E">
        <w:trPr>
          <w:gridAfter w:val="1"/>
          <w:wAfter w:w="64" w:type="dxa"/>
          <w:trHeight w:val="264"/>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5C9A" w14:textId="77777777" w:rsidR="00AB6725" w:rsidRPr="00AB6725" w:rsidRDefault="00AB6725" w:rsidP="00AB6725">
            <w:pPr>
              <w:jc w:val="right"/>
              <w:rPr>
                <w:rFonts w:cs="Arial"/>
                <w:color w:val="0070C0"/>
                <w:sz w:val="18"/>
                <w:szCs w:val="18"/>
              </w:rPr>
            </w:pPr>
            <w:r w:rsidRPr="00AB6725">
              <w:rPr>
                <w:rFonts w:cs="Arial"/>
                <w:sz w:val="18"/>
                <w:szCs w:val="18"/>
              </w:rPr>
              <w:t>2020.21</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274A555E" w14:textId="77777777" w:rsidR="00AB6725" w:rsidRPr="00AB6725" w:rsidRDefault="00AB6725" w:rsidP="00AB6725">
            <w:pPr>
              <w:jc w:val="right"/>
              <w:rPr>
                <w:rFonts w:cs="Arial"/>
                <w:color w:val="0070C0"/>
                <w:sz w:val="18"/>
                <w:szCs w:val="18"/>
              </w:rPr>
            </w:pPr>
            <w:r w:rsidRPr="00AB6725">
              <w:rPr>
                <w:rFonts w:cs="Arial"/>
                <w:color w:val="000000"/>
                <w:sz w:val="18"/>
                <w:szCs w:val="18"/>
              </w:rPr>
              <w:t>29,019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B9AD52" w14:textId="77777777" w:rsidR="00AB6725" w:rsidRPr="00AB6725" w:rsidRDefault="00AB6725" w:rsidP="00AB6725">
            <w:pPr>
              <w:jc w:val="right"/>
              <w:rPr>
                <w:rFonts w:cs="Arial"/>
                <w:color w:val="0070C0"/>
                <w:sz w:val="18"/>
                <w:szCs w:val="18"/>
              </w:rPr>
            </w:pPr>
            <w:r w:rsidRPr="00AB6725">
              <w:rPr>
                <w:rFonts w:cs="Arial"/>
                <w:color w:val="000000"/>
                <w:sz w:val="18"/>
                <w:szCs w:val="18"/>
              </w:rPr>
              <w:t>3,292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3B092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32,311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ADA8890" w14:textId="77777777" w:rsidR="00AB6725" w:rsidRPr="00AB6725" w:rsidRDefault="00AB6725" w:rsidP="00AB6725">
            <w:pPr>
              <w:jc w:val="right"/>
              <w:rPr>
                <w:rFonts w:cs="Arial"/>
                <w:color w:val="0070C0"/>
                <w:sz w:val="18"/>
                <w:szCs w:val="18"/>
              </w:rPr>
            </w:pPr>
            <w:r w:rsidRPr="00AB6725">
              <w:rPr>
                <w:rFonts w:cs="Arial"/>
                <w:color w:val="000000"/>
                <w:sz w:val="18"/>
                <w:szCs w:val="18"/>
              </w:rPr>
              <w:t>-10,756</w:t>
            </w:r>
          </w:p>
        </w:tc>
        <w:tc>
          <w:tcPr>
            <w:tcW w:w="14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B5D807" w14:textId="77777777" w:rsidR="00AB6725" w:rsidRPr="00AB6725" w:rsidRDefault="00AB6725" w:rsidP="00AB6725">
            <w:pPr>
              <w:jc w:val="right"/>
              <w:rPr>
                <w:rFonts w:cs="Arial"/>
                <w:color w:val="0070C0"/>
                <w:sz w:val="18"/>
                <w:szCs w:val="18"/>
              </w:rPr>
            </w:pPr>
            <w:r w:rsidRPr="00AB6725">
              <w:rPr>
                <w:rFonts w:cs="Arial"/>
                <w:color w:val="000000"/>
                <w:sz w:val="18"/>
                <w:szCs w:val="18"/>
              </w:rPr>
              <w:t>-7,794</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2D449C" w14:textId="77777777" w:rsidR="00AB6725" w:rsidRPr="00AB6725" w:rsidRDefault="00AB6725" w:rsidP="00AB6725">
            <w:pPr>
              <w:jc w:val="right"/>
              <w:rPr>
                <w:rFonts w:cs="Arial"/>
                <w:color w:val="0070C0"/>
                <w:sz w:val="18"/>
                <w:szCs w:val="18"/>
              </w:rPr>
            </w:pPr>
            <w:r w:rsidRPr="00AB6725">
              <w:rPr>
                <w:rFonts w:cs="Arial"/>
                <w:color w:val="000000"/>
                <w:sz w:val="18"/>
                <w:szCs w:val="18"/>
              </w:rPr>
              <w:t>-7,573</w:t>
            </w:r>
          </w:p>
        </w:tc>
        <w:tc>
          <w:tcPr>
            <w:tcW w:w="11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DD3C3" w14:textId="77777777" w:rsidR="00AB6725" w:rsidRPr="00AB6725" w:rsidRDefault="00AB6725" w:rsidP="00AB6725">
            <w:pPr>
              <w:jc w:val="right"/>
              <w:rPr>
                <w:rFonts w:cs="Arial"/>
                <w:color w:val="0070C0"/>
                <w:sz w:val="18"/>
                <w:szCs w:val="18"/>
              </w:rPr>
            </w:pPr>
            <w:r w:rsidRPr="00AB6725">
              <w:rPr>
                <w:rFonts w:cs="Arial"/>
                <w:color w:val="000000"/>
                <w:sz w:val="18"/>
                <w:szCs w:val="18"/>
              </w:rPr>
              <w:t>-133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A1B76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-26,256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06DDC3" w14:textId="77777777" w:rsidR="00AB6725" w:rsidRPr="00AB6725" w:rsidRDefault="00AB6725" w:rsidP="00AB6725">
            <w:pPr>
              <w:jc w:val="right"/>
              <w:rPr>
                <w:rFonts w:cs="Arial"/>
                <w:color w:val="0070C0"/>
                <w:sz w:val="18"/>
                <w:szCs w:val="18"/>
              </w:rPr>
            </w:pPr>
            <w:r w:rsidRPr="00AB6725">
              <w:rPr>
                <w:rFonts w:cs="Arial"/>
                <w:color w:val="000000"/>
                <w:sz w:val="18"/>
                <w:szCs w:val="18"/>
              </w:rPr>
              <w:t>-6,484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7663C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DE65EB" w14:textId="77777777" w:rsidR="00AB6725" w:rsidRPr="00AB6725" w:rsidRDefault="00AB6725" w:rsidP="00AB6725">
            <w:pPr>
              <w:jc w:val="right"/>
              <w:rPr>
                <w:rFonts w:cs="Arial"/>
                <w:color w:val="0070C0"/>
                <w:sz w:val="18"/>
                <w:szCs w:val="18"/>
              </w:rPr>
            </w:pPr>
            <w:r w:rsidRPr="00AB6725">
              <w:rPr>
                <w:rFonts w:cs="Arial"/>
                <w:color w:val="000000"/>
                <w:sz w:val="18"/>
                <w:szCs w:val="18"/>
              </w:rPr>
              <w:t>7,526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F8AAA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7,096</w:t>
            </w:r>
          </w:p>
        </w:tc>
      </w:tr>
      <w:tr w:rsidR="00AB6725" w:rsidRPr="00AB6725" w14:paraId="6FE7F874"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A731C9B" w14:textId="77777777" w:rsidR="00AB6725" w:rsidRPr="00AB6725" w:rsidRDefault="00AB6725" w:rsidP="00AB6725">
            <w:pPr>
              <w:jc w:val="right"/>
              <w:rPr>
                <w:rFonts w:cs="Arial"/>
                <w:color w:val="0070C0"/>
                <w:sz w:val="18"/>
                <w:szCs w:val="18"/>
              </w:rPr>
            </w:pPr>
            <w:r w:rsidRPr="00AB6725">
              <w:rPr>
                <w:rFonts w:cs="Arial"/>
                <w:sz w:val="18"/>
                <w:szCs w:val="18"/>
              </w:rPr>
              <w:t>2021.22</w:t>
            </w:r>
          </w:p>
        </w:tc>
        <w:tc>
          <w:tcPr>
            <w:tcW w:w="1059" w:type="dxa"/>
            <w:tcBorders>
              <w:top w:val="nil"/>
              <w:left w:val="nil"/>
              <w:bottom w:val="single" w:sz="4" w:space="0" w:color="auto"/>
              <w:right w:val="single" w:sz="4" w:space="0" w:color="auto"/>
            </w:tcBorders>
            <w:shd w:val="clear" w:color="auto" w:fill="auto"/>
            <w:noWrap/>
            <w:vAlign w:val="center"/>
            <w:hideMark/>
          </w:tcPr>
          <w:p w14:paraId="0D1D4F49" w14:textId="77777777" w:rsidR="00AB6725" w:rsidRPr="00AB6725" w:rsidRDefault="00AB6725" w:rsidP="00AB6725">
            <w:pPr>
              <w:jc w:val="right"/>
              <w:rPr>
                <w:rFonts w:cs="Arial"/>
                <w:color w:val="0070C0"/>
                <w:sz w:val="18"/>
                <w:szCs w:val="18"/>
              </w:rPr>
            </w:pPr>
            <w:r w:rsidRPr="00AB6725">
              <w:rPr>
                <w:rFonts w:cs="Arial"/>
                <w:color w:val="000000"/>
                <w:sz w:val="18"/>
                <w:szCs w:val="18"/>
              </w:rPr>
              <w:t>30,289</w:t>
            </w:r>
          </w:p>
        </w:tc>
        <w:tc>
          <w:tcPr>
            <w:tcW w:w="992" w:type="dxa"/>
            <w:tcBorders>
              <w:top w:val="nil"/>
              <w:left w:val="nil"/>
              <w:bottom w:val="single" w:sz="4" w:space="0" w:color="auto"/>
              <w:right w:val="single" w:sz="4" w:space="0" w:color="auto"/>
            </w:tcBorders>
            <w:shd w:val="clear" w:color="auto" w:fill="auto"/>
            <w:noWrap/>
            <w:vAlign w:val="center"/>
            <w:hideMark/>
          </w:tcPr>
          <w:p w14:paraId="3877695A" w14:textId="77777777" w:rsidR="00AB6725" w:rsidRPr="00AB6725" w:rsidRDefault="00AB6725" w:rsidP="00AB6725">
            <w:pPr>
              <w:jc w:val="right"/>
              <w:rPr>
                <w:rFonts w:cs="Arial"/>
                <w:color w:val="0070C0"/>
                <w:sz w:val="18"/>
                <w:szCs w:val="18"/>
              </w:rPr>
            </w:pPr>
            <w:r w:rsidRPr="00AB6725">
              <w:rPr>
                <w:rFonts w:cs="Arial"/>
                <w:color w:val="000000"/>
                <w:sz w:val="18"/>
                <w:szCs w:val="18"/>
              </w:rPr>
              <w:t>3,340</w:t>
            </w:r>
          </w:p>
        </w:tc>
        <w:tc>
          <w:tcPr>
            <w:tcW w:w="992" w:type="dxa"/>
            <w:tcBorders>
              <w:top w:val="nil"/>
              <w:left w:val="nil"/>
              <w:bottom w:val="single" w:sz="4" w:space="0" w:color="auto"/>
              <w:right w:val="single" w:sz="4" w:space="0" w:color="auto"/>
            </w:tcBorders>
            <w:shd w:val="clear" w:color="auto" w:fill="auto"/>
            <w:noWrap/>
            <w:vAlign w:val="center"/>
            <w:hideMark/>
          </w:tcPr>
          <w:p w14:paraId="5811869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33,629</w:t>
            </w:r>
          </w:p>
        </w:tc>
        <w:tc>
          <w:tcPr>
            <w:tcW w:w="1103" w:type="dxa"/>
            <w:tcBorders>
              <w:top w:val="nil"/>
              <w:left w:val="nil"/>
              <w:bottom w:val="single" w:sz="4" w:space="0" w:color="auto"/>
              <w:right w:val="single" w:sz="4" w:space="0" w:color="auto"/>
            </w:tcBorders>
            <w:shd w:val="clear" w:color="auto" w:fill="auto"/>
            <w:noWrap/>
            <w:vAlign w:val="center"/>
            <w:hideMark/>
          </w:tcPr>
          <w:p w14:paraId="3366754D" w14:textId="77777777" w:rsidR="00AB6725" w:rsidRPr="00AB6725" w:rsidRDefault="00AB6725" w:rsidP="00AB6725">
            <w:pPr>
              <w:jc w:val="right"/>
              <w:rPr>
                <w:rFonts w:cs="Arial"/>
                <w:color w:val="0070C0"/>
                <w:sz w:val="18"/>
                <w:szCs w:val="18"/>
              </w:rPr>
            </w:pPr>
            <w:r w:rsidRPr="00AB6725">
              <w:rPr>
                <w:rFonts w:cs="Arial"/>
                <w:color w:val="000000"/>
                <w:sz w:val="18"/>
                <w:szCs w:val="18"/>
              </w:rPr>
              <w:t>-10,971</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7CAEE841" w14:textId="77777777" w:rsidR="00AB6725" w:rsidRPr="00AB6725" w:rsidRDefault="00AB6725" w:rsidP="00AB6725">
            <w:pPr>
              <w:jc w:val="right"/>
              <w:rPr>
                <w:rFonts w:cs="Arial"/>
                <w:color w:val="0070C0"/>
                <w:sz w:val="18"/>
                <w:szCs w:val="18"/>
              </w:rPr>
            </w:pPr>
            <w:r w:rsidRPr="00AB6725">
              <w:rPr>
                <w:rFonts w:cs="Arial"/>
                <w:color w:val="000000"/>
                <w:sz w:val="18"/>
                <w:szCs w:val="18"/>
              </w:rPr>
              <w:t>-7,981</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D110B49" w14:textId="77777777" w:rsidR="00AB6725" w:rsidRPr="00AB6725" w:rsidRDefault="00AB6725" w:rsidP="00AB6725">
            <w:pPr>
              <w:jc w:val="right"/>
              <w:rPr>
                <w:rFonts w:cs="Arial"/>
                <w:color w:val="0070C0"/>
                <w:sz w:val="18"/>
                <w:szCs w:val="18"/>
              </w:rPr>
            </w:pPr>
            <w:r w:rsidRPr="00AB6725">
              <w:rPr>
                <w:rFonts w:cs="Arial"/>
                <w:color w:val="000000"/>
                <w:sz w:val="18"/>
                <w:szCs w:val="18"/>
              </w:rPr>
              <w:t>-7,916</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71EACB27" w14:textId="77777777" w:rsidR="00AB6725" w:rsidRPr="00AB6725" w:rsidRDefault="00AB6725" w:rsidP="00AB6725">
            <w:pPr>
              <w:jc w:val="right"/>
              <w:rPr>
                <w:rFonts w:cs="Arial"/>
                <w:color w:val="0070C0"/>
                <w:sz w:val="18"/>
                <w:szCs w:val="18"/>
              </w:rPr>
            </w:pPr>
            <w:r w:rsidRPr="00AB6725">
              <w:rPr>
                <w:rFonts w:cs="Arial"/>
                <w:color w:val="000000"/>
                <w:sz w:val="18"/>
                <w:szCs w:val="18"/>
              </w:rPr>
              <w:t>-136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7809CF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-27,005</w:t>
            </w:r>
          </w:p>
        </w:tc>
        <w:tc>
          <w:tcPr>
            <w:tcW w:w="1417" w:type="dxa"/>
            <w:tcBorders>
              <w:top w:val="nil"/>
              <w:left w:val="nil"/>
              <w:bottom w:val="single" w:sz="4" w:space="0" w:color="auto"/>
              <w:right w:val="single" w:sz="4" w:space="0" w:color="auto"/>
            </w:tcBorders>
            <w:shd w:val="clear" w:color="auto" w:fill="auto"/>
            <w:noWrap/>
            <w:vAlign w:val="center"/>
            <w:hideMark/>
          </w:tcPr>
          <w:p w14:paraId="7C137FA1" w14:textId="77777777" w:rsidR="00AB6725" w:rsidRPr="00AB6725" w:rsidRDefault="00AB6725" w:rsidP="00AB6725">
            <w:pPr>
              <w:jc w:val="right"/>
              <w:rPr>
                <w:rFonts w:cs="Arial"/>
                <w:color w:val="0070C0"/>
                <w:sz w:val="18"/>
                <w:szCs w:val="18"/>
              </w:rPr>
            </w:pPr>
            <w:r w:rsidRPr="00AB6725">
              <w:rPr>
                <w:rFonts w:cs="Arial"/>
                <w:color w:val="000000"/>
                <w:sz w:val="18"/>
                <w:szCs w:val="18"/>
              </w:rPr>
              <w:t>-6,507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3144F0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118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27BB99" w14:textId="77777777" w:rsidR="00AB6725" w:rsidRPr="00AB6725" w:rsidRDefault="00AB6725" w:rsidP="00AB6725">
            <w:pPr>
              <w:jc w:val="right"/>
              <w:rPr>
                <w:rFonts w:cs="Arial"/>
                <w:color w:val="0070C0"/>
                <w:sz w:val="18"/>
                <w:szCs w:val="18"/>
              </w:rPr>
            </w:pPr>
            <w:r w:rsidRPr="00AB6725">
              <w:rPr>
                <w:rFonts w:cs="Arial"/>
                <w:color w:val="000000"/>
                <w:sz w:val="18"/>
                <w:szCs w:val="18"/>
              </w:rPr>
              <w:t>7,096</w:t>
            </w:r>
          </w:p>
        </w:tc>
        <w:tc>
          <w:tcPr>
            <w:tcW w:w="1134" w:type="dxa"/>
            <w:tcBorders>
              <w:top w:val="nil"/>
              <w:left w:val="nil"/>
              <w:bottom w:val="single" w:sz="4" w:space="0" w:color="auto"/>
              <w:right w:val="single" w:sz="4" w:space="0" w:color="auto"/>
            </w:tcBorders>
            <w:shd w:val="clear" w:color="auto" w:fill="auto"/>
            <w:noWrap/>
            <w:vAlign w:val="center"/>
          </w:tcPr>
          <w:p w14:paraId="4854951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7,214</w:t>
            </w:r>
          </w:p>
        </w:tc>
      </w:tr>
      <w:tr w:rsidR="00AB6725" w:rsidRPr="00AB6725" w14:paraId="022B11B9"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1337254" w14:textId="77777777" w:rsidR="00AB6725" w:rsidRPr="00AB6725" w:rsidRDefault="00AB6725" w:rsidP="00AB6725">
            <w:pPr>
              <w:jc w:val="right"/>
              <w:rPr>
                <w:rFonts w:cs="Arial"/>
                <w:color w:val="0070C0"/>
                <w:sz w:val="18"/>
                <w:szCs w:val="18"/>
              </w:rPr>
            </w:pPr>
            <w:r w:rsidRPr="00AB6725">
              <w:rPr>
                <w:rFonts w:cs="Arial"/>
                <w:sz w:val="18"/>
                <w:szCs w:val="18"/>
              </w:rPr>
              <w:t>2022.23</w:t>
            </w:r>
          </w:p>
        </w:tc>
        <w:tc>
          <w:tcPr>
            <w:tcW w:w="1059" w:type="dxa"/>
            <w:tcBorders>
              <w:top w:val="nil"/>
              <w:left w:val="nil"/>
              <w:bottom w:val="single" w:sz="4" w:space="0" w:color="auto"/>
              <w:right w:val="single" w:sz="4" w:space="0" w:color="auto"/>
            </w:tcBorders>
            <w:shd w:val="clear" w:color="auto" w:fill="auto"/>
            <w:noWrap/>
            <w:vAlign w:val="center"/>
            <w:hideMark/>
          </w:tcPr>
          <w:p w14:paraId="1DB5C17B" w14:textId="77777777" w:rsidR="00AB6725" w:rsidRPr="00AB6725" w:rsidRDefault="00AB6725" w:rsidP="00AB6725">
            <w:pPr>
              <w:jc w:val="right"/>
              <w:rPr>
                <w:rFonts w:cs="Arial"/>
                <w:color w:val="0070C0"/>
                <w:sz w:val="18"/>
                <w:szCs w:val="18"/>
              </w:rPr>
            </w:pPr>
            <w:r w:rsidRPr="00AB6725">
              <w:rPr>
                <w:rFonts w:cs="Arial"/>
                <w:color w:val="000000"/>
                <w:sz w:val="18"/>
                <w:szCs w:val="18"/>
              </w:rPr>
              <w:t>31,628</w:t>
            </w:r>
          </w:p>
        </w:tc>
        <w:tc>
          <w:tcPr>
            <w:tcW w:w="992" w:type="dxa"/>
            <w:tcBorders>
              <w:top w:val="nil"/>
              <w:left w:val="nil"/>
              <w:bottom w:val="single" w:sz="4" w:space="0" w:color="auto"/>
              <w:right w:val="single" w:sz="4" w:space="0" w:color="auto"/>
            </w:tcBorders>
            <w:shd w:val="clear" w:color="auto" w:fill="auto"/>
            <w:noWrap/>
            <w:vAlign w:val="center"/>
            <w:hideMark/>
          </w:tcPr>
          <w:p w14:paraId="60CC51AA" w14:textId="77777777" w:rsidR="00AB6725" w:rsidRPr="00AB6725" w:rsidRDefault="00AB6725" w:rsidP="00AB6725">
            <w:pPr>
              <w:jc w:val="right"/>
              <w:rPr>
                <w:rFonts w:cs="Arial"/>
                <w:color w:val="0070C0"/>
                <w:sz w:val="18"/>
                <w:szCs w:val="18"/>
              </w:rPr>
            </w:pPr>
            <w:r w:rsidRPr="00AB6725">
              <w:rPr>
                <w:rFonts w:cs="Arial"/>
                <w:color w:val="000000"/>
                <w:sz w:val="18"/>
                <w:szCs w:val="18"/>
              </w:rPr>
              <w:t>3,390</w:t>
            </w:r>
          </w:p>
        </w:tc>
        <w:tc>
          <w:tcPr>
            <w:tcW w:w="992" w:type="dxa"/>
            <w:tcBorders>
              <w:top w:val="nil"/>
              <w:left w:val="nil"/>
              <w:bottom w:val="single" w:sz="4" w:space="0" w:color="auto"/>
              <w:right w:val="single" w:sz="4" w:space="0" w:color="auto"/>
            </w:tcBorders>
            <w:shd w:val="clear" w:color="auto" w:fill="auto"/>
            <w:noWrap/>
            <w:vAlign w:val="center"/>
            <w:hideMark/>
          </w:tcPr>
          <w:p w14:paraId="1965D9A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35,018</w:t>
            </w:r>
          </w:p>
        </w:tc>
        <w:tc>
          <w:tcPr>
            <w:tcW w:w="1103" w:type="dxa"/>
            <w:tcBorders>
              <w:top w:val="nil"/>
              <w:left w:val="nil"/>
              <w:bottom w:val="single" w:sz="4" w:space="0" w:color="auto"/>
              <w:right w:val="single" w:sz="4" w:space="0" w:color="auto"/>
            </w:tcBorders>
            <w:shd w:val="clear" w:color="auto" w:fill="auto"/>
            <w:noWrap/>
            <w:vAlign w:val="center"/>
            <w:hideMark/>
          </w:tcPr>
          <w:p w14:paraId="735A940E" w14:textId="77777777" w:rsidR="00AB6725" w:rsidRPr="00AB6725" w:rsidRDefault="00AB6725" w:rsidP="00AB6725">
            <w:pPr>
              <w:jc w:val="right"/>
              <w:rPr>
                <w:rFonts w:cs="Arial"/>
                <w:color w:val="0070C0"/>
                <w:sz w:val="18"/>
                <w:szCs w:val="18"/>
              </w:rPr>
            </w:pPr>
            <w:r w:rsidRPr="00AB6725">
              <w:rPr>
                <w:rFonts w:cs="Arial"/>
                <w:color w:val="000000"/>
                <w:sz w:val="18"/>
                <w:szCs w:val="18"/>
              </w:rPr>
              <w:t>-11,191</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74EEE17B" w14:textId="77777777" w:rsidR="00AB6725" w:rsidRPr="00AB6725" w:rsidRDefault="00AB6725" w:rsidP="00AB6725">
            <w:pPr>
              <w:jc w:val="right"/>
              <w:rPr>
                <w:rFonts w:cs="Arial"/>
                <w:color w:val="0070C0"/>
                <w:sz w:val="18"/>
                <w:szCs w:val="18"/>
              </w:rPr>
            </w:pPr>
            <w:r w:rsidRPr="00AB6725">
              <w:rPr>
                <w:rFonts w:cs="Arial"/>
                <w:color w:val="000000"/>
                <w:sz w:val="18"/>
                <w:szCs w:val="18"/>
              </w:rPr>
              <w:t>-8,246</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B4D2A64" w14:textId="77777777" w:rsidR="00AB6725" w:rsidRPr="00AB6725" w:rsidRDefault="00AB6725" w:rsidP="00AB6725">
            <w:pPr>
              <w:jc w:val="right"/>
              <w:rPr>
                <w:rFonts w:cs="Arial"/>
                <w:color w:val="0070C0"/>
                <w:sz w:val="18"/>
                <w:szCs w:val="18"/>
              </w:rPr>
            </w:pPr>
            <w:r w:rsidRPr="00AB6725">
              <w:rPr>
                <w:rFonts w:cs="Arial"/>
                <w:color w:val="000000"/>
                <w:sz w:val="18"/>
                <w:szCs w:val="18"/>
              </w:rPr>
              <w:t>-8,107</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2A5FF7CD" w14:textId="77777777" w:rsidR="00AB6725" w:rsidRPr="00AB6725" w:rsidRDefault="00AB6725" w:rsidP="00AB6725">
            <w:pPr>
              <w:jc w:val="right"/>
              <w:rPr>
                <w:rFonts w:cs="Arial"/>
                <w:color w:val="0070C0"/>
                <w:sz w:val="18"/>
                <w:szCs w:val="18"/>
              </w:rPr>
            </w:pPr>
            <w:r w:rsidRPr="00AB6725">
              <w:rPr>
                <w:rFonts w:cs="Arial"/>
                <w:color w:val="000000"/>
                <w:sz w:val="18"/>
                <w:szCs w:val="18"/>
              </w:rPr>
              <w:t>-139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B2332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-27,682</w:t>
            </w:r>
          </w:p>
        </w:tc>
        <w:tc>
          <w:tcPr>
            <w:tcW w:w="1417" w:type="dxa"/>
            <w:tcBorders>
              <w:top w:val="nil"/>
              <w:left w:val="nil"/>
              <w:bottom w:val="single" w:sz="4" w:space="0" w:color="auto"/>
              <w:right w:val="single" w:sz="4" w:space="0" w:color="auto"/>
            </w:tcBorders>
            <w:shd w:val="clear" w:color="auto" w:fill="auto"/>
            <w:noWrap/>
            <w:vAlign w:val="center"/>
            <w:hideMark/>
          </w:tcPr>
          <w:p w14:paraId="556194DE" w14:textId="77777777" w:rsidR="00AB6725" w:rsidRPr="00AB6725" w:rsidRDefault="00AB6725" w:rsidP="00AB6725">
            <w:pPr>
              <w:jc w:val="right"/>
              <w:rPr>
                <w:rFonts w:cs="Arial"/>
                <w:color w:val="0070C0"/>
                <w:sz w:val="18"/>
                <w:szCs w:val="18"/>
              </w:rPr>
            </w:pPr>
            <w:r w:rsidRPr="00AB6725">
              <w:rPr>
                <w:rFonts w:cs="Arial"/>
                <w:color w:val="000000"/>
                <w:sz w:val="18"/>
                <w:szCs w:val="18"/>
              </w:rPr>
              <w:t>-6,823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98F4D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513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5F5E765" w14:textId="77777777" w:rsidR="00AB6725" w:rsidRPr="00AB6725" w:rsidRDefault="00AB6725" w:rsidP="00AB6725">
            <w:pPr>
              <w:jc w:val="right"/>
              <w:rPr>
                <w:rFonts w:cs="Arial"/>
                <w:color w:val="0070C0"/>
                <w:sz w:val="18"/>
                <w:szCs w:val="18"/>
              </w:rPr>
            </w:pPr>
            <w:r w:rsidRPr="00AB6725">
              <w:rPr>
                <w:rFonts w:cs="Arial"/>
                <w:color w:val="000000"/>
                <w:sz w:val="18"/>
                <w:szCs w:val="18"/>
              </w:rPr>
              <w:t>7,214</w:t>
            </w:r>
          </w:p>
        </w:tc>
        <w:tc>
          <w:tcPr>
            <w:tcW w:w="1134" w:type="dxa"/>
            <w:tcBorders>
              <w:top w:val="nil"/>
              <w:left w:val="nil"/>
              <w:bottom w:val="single" w:sz="4" w:space="0" w:color="auto"/>
              <w:right w:val="single" w:sz="4" w:space="0" w:color="auto"/>
            </w:tcBorders>
            <w:shd w:val="clear" w:color="auto" w:fill="auto"/>
            <w:noWrap/>
            <w:vAlign w:val="center"/>
          </w:tcPr>
          <w:p w14:paraId="55BB013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7,726</w:t>
            </w:r>
          </w:p>
        </w:tc>
      </w:tr>
      <w:tr w:rsidR="00AB6725" w:rsidRPr="00AB6725" w14:paraId="377C788D"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9539F27" w14:textId="77777777" w:rsidR="00AB6725" w:rsidRPr="00AB6725" w:rsidRDefault="00AB6725" w:rsidP="00AB6725">
            <w:pPr>
              <w:jc w:val="right"/>
              <w:rPr>
                <w:rFonts w:cs="Arial"/>
                <w:color w:val="0070C0"/>
                <w:sz w:val="18"/>
                <w:szCs w:val="18"/>
              </w:rPr>
            </w:pPr>
            <w:r w:rsidRPr="00AB6725">
              <w:rPr>
                <w:rFonts w:cs="Arial"/>
                <w:sz w:val="18"/>
                <w:szCs w:val="18"/>
              </w:rPr>
              <w:t>2023.24</w:t>
            </w:r>
          </w:p>
        </w:tc>
        <w:tc>
          <w:tcPr>
            <w:tcW w:w="1059" w:type="dxa"/>
            <w:tcBorders>
              <w:top w:val="nil"/>
              <w:left w:val="nil"/>
              <w:bottom w:val="single" w:sz="4" w:space="0" w:color="auto"/>
              <w:right w:val="single" w:sz="4" w:space="0" w:color="auto"/>
            </w:tcBorders>
            <w:shd w:val="clear" w:color="auto" w:fill="auto"/>
            <w:noWrap/>
            <w:vAlign w:val="center"/>
            <w:hideMark/>
          </w:tcPr>
          <w:p w14:paraId="280D76CF" w14:textId="77777777" w:rsidR="00AB6725" w:rsidRPr="00AB6725" w:rsidRDefault="00AB6725" w:rsidP="00AB6725">
            <w:pPr>
              <w:jc w:val="right"/>
              <w:rPr>
                <w:rFonts w:cs="Arial"/>
                <w:color w:val="0070C0"/>
                <w:sz w:val="18"/>
                <w:szCs w:val="18"/>
              </w:rPr>
            </w:pPr>
            <w:r w:rsidRPr="00AB6725">
              <w:rPr>
                <w:rFonts w:cs="Arial"/>
                <w:color w:val="000000"/>
                <w:sz w:val="18"/>
                <w:szCs w:val="18"/>
              </w:rPr>
              <w:t>32,999</w:t>
            </w:r>
          </w:p>
        </w:tc>
        <w:tc>
          <w:tcPr>
            <w:tcW w:w="992" w:type="dxa"/>
            <w:tcBorders>
              <w:top w:val="nil"/>
              <w:left w:val="nil"/>
              <w:bottom w:val="single" w:sz="4" w:space="0" w:color="auto"/>
              <w:right w:val="single" w:sz="4" w:space="0" w:color="auto"/>
            </w:tcBorders>
            <w:shd w:val="clear" w:color="auto" w:fill="auto"/>
            <w:noWrap/>
            <w:vAlign w:val="center"/>
            <w:hideMark/>
          </w:tcPr>
          <w:p w14:paraId="2793B34D" w14:textId="77777777" w:rsidR="00AB6725" w:rsidRPr="00AB6725" w:rsidRDefault="00AB6725" w:rsidP="00AB6725">
            <w:pPr>
              <w:jc w:val="right"/>
              <w:rPr>
                <w:rFonts w:cs="Arial"/>
                <w:color w:val="0070C0"/>
                <w:sz w:val="18"/>
                <w:szCs w:val="18"/>
              </w:rPr>
            </w:pPr>
            <w:r w:rsidRPr="00AB6725">
              <w:rPr>
                <w:rFonts w:cs="Arial"/>
                <w:color w:val="000000"/>
                <w:sz w:val="18"/>
                <w:szCs w:val="18"/>
              </w:rPr>
              <w:t>3,441</w:t>
            </w:r>
          </w:p>
        </w:tc>
        <w:tc>
          <w:tcPr>
            <w:tcW w:w="992" w:type="dxa"/>
            <w:tcBorders>
              <w:top w:val="nil"/>
              <w:left w:val="nil"/>
              <w:bottom w:val="single" w:sz="4" w:space="0" w:color="auto"/>
              <w:right w:val="single" w:sz="4" w:space="0" w:color="auto"/>
            </w:tcBorders>
            <w:shd w:val="clear" w:color="auto" w:fill="auto"/>
            <w:noWrap/>
            <w:vAlign w:val="center"/>
            <w:hideMark/>
          </w:tcPr>
          <w:p w14:paraId="68524B1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36,440</w:t>
            </w:r>
          </w:p>
        </w:tc>
        <w:tc>
          <w:tcPr>
            <w:tcW w:w="1103" w:type="dxa"/>
            <w:tcBorders>
              <w:top w:val="nil"/>
              <w:left w:val="nil"/>
              <w:bottom w:val="single" w:sz="4" w:space="0" w:color="auto"/>
              <w:right w:val="single" w:sz="4" w:space="0" w:color="auto"/>
            </w:tcBorders>
            <w:shd w:val="clear" w:color="auto" w:fill="auto"/>
            <w:noWrap/>
            <w:vAlign w:val="center"/>
            <w:hideMark/>
          </w:tcPr>
          <w:p w14:paraId="381895F1" w14:textId="77777777" w:rsidR="00AB6725" w:rsidRPr="00AB6725" w:rsidRDefault="00AB6725" w:rsidP="00AB6725">
            <w:pPr>
              <w:jc w:val="right"/>
              <w:rPr>
                <w:rFonts w:cs="Arial"/>
                <w:color w:val="0070C0"/>
                <w:sz w:val="18"/>
                <w:szCs w:val="18"/>
              </w:rPr>
            </w:pPr>
            <w:r w:rsidRPr="00AB6725">
              <w:rPr>
                <w:rFonts w:cs="Arial"/>
                <w:color w:val="000000"/>
                <w:sz w:val="18"/>
                <w:szCs w:val="18"/>
              </w:rPr>
              <w:t>-11,415</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223D0270" w14:textId="77777777" w:rsidR="00AB6725" w:rsidRPr="00AB6725" w:rsidRDefault="00AB6725" w:rsidP="00AB6725">
            <w:pPr>
              <w:jc w:val="right"/>
              <w:rPr>
                <w:rFonts w:cs="Arial"/>
                <w:color w:val="0070C0"/>
                <w:sz w:val="18"/>
                <w:szCs w:val="18"/>
              </w:rPr>
            </w:pPr>
            <w:r w:rsidRPr="00AB6725">
              <w:rPr>
                <w:rFonts w:cs="Arial"/>
                <w:color w:val="000000"/>
                <w:sz w:val="18"/>
                <w:szCs w:val="18"/>
              </w:rPr>
              <w:t>-8,636</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9934BE5" w14:textId="77777777" w:rsidR="00AB6725" w:rsidRPr="00AB6725" w:rsidRDefault="00AB6725" w:rsidP="00AB6725">
            <w:pPr>
              <w:jc w:val="right"/>
              <w:rPr>
                <w:rFonts w:cs="Arial"/>
                <w:color w:val="0070C0"/>
                <w:sz w:val="18"/>
                <w:szCs w:val="18"/>
              </w:rPr>
            </w:pPr>
            <w:r w:rsidRPr="00AB6725">
              <w:rPr>
                <w:rFonts w:cs="Arial"/>
                <w:color w:val="000000"/>
                <w:sz w:val="18"/>
                <w:szCs w:val="18"/>
              </w:rPr>
              <w:t>-8,419</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42D3556D" w14:textId="77777777" w:rsidR="00AB6725" w:rsidRPr="00AB6725" w:rsidRDefault="00AB6725" w:rsidP="00AB6725">
            <w:pPr>
              <w:jc w:val="right"/>
              <w:rPr>
                <w:rFonts w:cs="Arial"/>
                <w:color w:val="0070C0"/>
                <w:sz w:val="18"/>
                <w:szCs w:val="18"/>
              </w:rPr>
            </w:pPr>
            <w:r w:rsidRPr="00AB6725">
              <w:rPr>
                <w:rFonts w:cs="Arial"/>
                <w:color w:val="000000"/>
                <w:sz w:val="18"/>
                <w:szCs w:val="18"/>
              </w:rPr>
              <w:t>-141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0810A2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-28,610</w:t>
            </w:r>
          </w:p>
        </w:tc>
        <w:tc>
          <w:tcPr>
            <w:tcW w:w="1417" w:type="dxa"/>
            <w:tcBorders>
              <w:top w:val="nil"/>
              <w:left w:val="nil"/>
              <w:bottom w:val="single" w:sz="4" w:space="0" w:color="auto"/>
              <w:right w:val="single" w:sz="4" w:space="0" w:color="auto"/>
            </w:tcBorders>
            <w:shd w:val="clear" w:color="auto" w:fill="auto"/>
            <w:noWrap/>
            <w:vAlign w:val="center"/>
            <w:hideMark/>
          </w:tcPr>
          <w:p w14:paraId="316EF539" w14:textId="77777777" w:rsidR="00AB6725" w:rsidRPr="00AB6725" w:rsidRDefault="00AB6725" w:rsidP="00AB6725">
            <w:pPr>
              <w:jc w:val="right"/>
              <w:rPr>
                <w:rFonts w:cs="Arial"/>
                <w:color w:val="0070C0"/>
                <w:sz w:val="18"/>
                <w:szCs w:val="18"/>
              </w:rPr>
            </w:pPr>
            <w:r w:rsidRPr="00AB6725">
              <w:rPr>
                <w:rFonts w:cs="Arial"/>
                <w:color w:val="000000"/>
                <w:sz w:val="18"/>
                <w:szCs w:val="18"/>
              </w:rPr>
              <w:t>-7,400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8C2660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430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4CFBCC2" w14:textId="77777777" w:rsidR="00AB6725" w:rsidRPr="00AB6725" w:rsidRDefault="00AB6725" w:rsidP="00AB6725">
            <w:pPr>
              <w:jc w:val="right"/>
              <w:rPr>
                <w:rFonts w:cs="Arial"/>
                <w:color w:val="0070C0"/>
                <w:sz w:val="18"/>
                <w:szCs w:val="18"/>
              </w:rPr>
            </w:pPr>
            <w:r w:rsidRPr="00AB6725">
              <w:rPr>
                <w:rFonts w:cs="Arial"/>
                <w:color w:val="000000"/>
                <w:sz w:val="18"/>
                <w:szCs w:val="18"/>
              </w:rPr>
              <w:t>7,726</w:t>
            </w:r>
          </w:p>
        </w:tc>
        <w:tc>
          <w:tcPr>
            <w:tcW w:w="1134" w:type="dxa"/>
            <w:tcBorders>
              <w:top w:val="nil"/>
              <w:left w:val="nil"/>
              <w:bottom w:val="single" w:sz="4" w:space="0" w:color="auto"/>
              <w:right w:val="single" w:sz="4" w:space="0" w:color="auto"/>
            </w:tcBorders>
            <w:shd w:val="clear" w:color="auto" w:fill="auto"/>
            <w:noWrap/>
            <w:vAlign w:val="center"/>
          </w:tcPr>
          <w:p w14:paraId="50891F2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8,156</w:t>
            </w:r>
          </w:p>
        </w:tc>
      </w:tr>
      <w:tr w:rsidR="00AB6725" w:rsidRPr="00AB6725" w14:paraId="10333796"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D299636" w14:textId="77777777" w:rsidR="00AB6725" w:rsidRPr="00AB6725" w:rsidRDefault="00AB6725" w:rsidP="00AB6725">
            <w:pPr>
              <w:jc w:val="right"/>
              <w:rPr>
                <w:rFonts w:cs="Arial"/>
                <w:color w:val="0070C0"/>
                <w:sz w:val="18"/>
                <w:szCs w:val="18"/>
              </w:rPr>
            </w:pPr>
            <w:r w:rsidRPr="00AB6725">
              <w:rPr>
                <w:rFonts w:cs="Arial"/>
                <w:sz w:val="18"/>
                <w:szCs w:val="18"/>
              </w:rPr>
              <w:t>2024.25</w:t>
            </w:r>
          </w:p>
        </w:tc>
        <w:tc>
          <w:tcPr>
            <w:tcW w:w="1059" w:type="dxa"/>
            <w:tcBorders>
              <w:top w:val="nil"/>
              <w:left w:val="nil"/>
              <w:bottom w:val="single" w:sz="4" w:space="0" w:color="auto"/>
              <w:right w:val="single" w:sz="4" w:space="0" w:color="auto"/>
            </w:tcBorders>
            <w:shd w:val="clear" w:color="auto" w:fill="auto"/>
            <w:noWrap/>
            <w:vAlign w:val="center"/>
            <w:hideMark/>
          </w:tcPr>
          <w:p w14:paraId="7F74590D" w14:textId="77777777" w:rsidR="00AB6725" w:rsidRPr="00AB6725" w:rsidRDefault="00AB6725" w:rsidP="00AB6725">
            <w:pPr>
              <w:jc w:val="right"/>
              <w:rPr>
                <w:rFonts w:cs="Arial"/>
                <w:color w:val="0070C0"/>
                <w:sz w:val="18"/>
                <w:szCs w:val="18"/>
              </w:rPr>
            </w:pPr>
            <w:r w:rsidRPr="00AB6725">
              <w:rPr>
                <w:rFonts w:cs="Arial"/>
                <w:color w:val="000000"/>
                <w:sz w:val="18"/>
                <w:szCs w:val="18"/>
              </w:rPr>
              <w:t>35,907</w:t>
            </w:r>
          </w:p>
        </w:tc>
        <w:tc>
          <w:tcPr>
            <w:tcW w:w="992" w:type="dxa"/>
            <w:tcBorders>
              <w:top w:val="nil"/>
              <w:left w:val="nil"/>
              <w:bottom w:val="single" w:sz="4" w:space="0" w:color="auto"/>
              <w:right w:val="single" w:sz="4" w:space="0" w:color="auto"/>
            </w:tcBorders>
            <w:shd w:val="clear" w:color="auto" w:fill="auto"/>
            <w:noWrap/>
            <w:vAlign w:val="center"/>
            <w:hideMark/>
          </w:tcPr>
          <w:p w14:paraId="2D8933D8" w14:textId="77777777" w:rsidR="00AB6725" w:rsidRPr="00AB6725" w:rsidRDefault="00AB6725" w:rsidP="00AB6725">
            <w:pPr>
              <w:jc w:val="right"/>
              <w:rPr>
                <w:rFonts w:cs="Arial"/>
                <w:color w:val="0070C0"/>
                <w:sz w:val="18"/>
                <w:szCs w:val="18"/>
              </w:rPr>
            </w:pPr>
            <w:r w:rsidRPr="00AB6725">
              <w:rPr>
                <w:rFonts w:cs="Arial"/>
                <w:color w:val="000000"/>
                <w:sz w:val="18"/>
                <w:szCs w:val="18"/>
              </w:rPr>
              <w:t>3,493</w:t>
            </w:r>
          </w:p>
        </w:tc>
        <w:tc>
          <w:tcPr>
            <w:tcW w:w="992" w:type="dxa"/>
            <w:tcBorders>
              <w:top w:val="nil"/>
              <w:left w:val="nil"/>
              <w:bottom w:val="single" w:sz="4" w:space="0" w:color="auto"/>
              <w:right w:val="single" w:sz="4" w:space="0" w:color="auto"/>
            </w:tcBorders>
            <w:shd w:val="clear" w:color="auto" w:fill="auto"/>
            <w:noWrap/>
            <w:vAlign w:val="center"/>
            <w:hideMark/>
          </w:tcPr>
          <w:p w14:paraId="0396C38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39,401</w:t>
            </w:r>
          </w:p>
        </w:tc>
        <w:tc>
          <w:tcPr>
            <w:tcW w:w="1103" w:type="dxa"/>
            <w:tcBorders>
              <w:top w:val="nil"/>
              <w:left w:val="nil"/>
              <w:bottom w:val="single" w:sz="4" w:space="0" w:color="auto"/>
              <w:right w:val="single" w:sz="4" w:space="0" w:color="auto"/>
            </w:tcBorders>
            <w:shd w:val="clear" w:color="auto" w:fill="auto"/>
            <w:noWrap/>
            <w:vAlign w:val="center"/>
            <w:hideMark/>
          </w:tcPr>
          <w:p w14:paraId="49D70421" w14:textId="77777777" w:rsidR="00AB6725" w:rsidRPr="00AB6725" w:rsidRDefault="00AB6725" w:rsidP="00AB6725">
            <w:pPr>
              <w:jc w:val="right"/>
              <w:rPr>
                <w:rFonts w:cs="Arial"/>
                <w:color w:val="0070C0"/>
                <w:sz w:val="18"/>
                <w:szCs w:val="18"/>
              </w:rPr>
            </w:pPr>
            <w:r w:rsidRPr="00AB6725">
              <w:rPr>
                <w:rFonts w:cs="Arial"/>
                <w:color w:val="000000"/>
                <w:sz w:val="18"/>
                <w:szCs w:val="18"/>
              </w:rPr>
              <w:t>-11,643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58C63EC7" w14:textId="77777777" w:rsidR="00AB6725" w:rsidRPr="00AB6725" w:rsidRDefault="00AB6725" w:rsidP="00AB6725">
            <w:pPr>
              <w:jc w:val="right"/>
              <w:rPr>
                <w:rFonts w:cs="Arial"/>
                <w:color w:val="0070C0"/>
                <w:sz w:val="18"/>
                <w:szCs w:val="18"/>
              </w:rPr>
            </w:pPr>
            <w:r w:rsidRPr="00AB6725">
              <w:rPr>
                <w:rFonts w:cs="Arial"/>
                <w:color w:val="000000"/>
                <w:sz w:val="18"/>
                <w:szCs w:val="18"/>
              </w:rPr>
              <w:t>-8,924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8633B7F" w14:textId="77777777" w:rsidR="00AB6725" w:rsidRPr="00AB6725" w:rsidRDefault="00AB6725" w:rsidP="00AB6725">
            <w:pPr>
              <w:jc w:val="right"/>
              <w:rPr>
                <w:rFonts w:cs="Arial"/>
                <w:color w:val="0070C0"/>
                <w:sz w:val="18"/>
                <w:szCs w:val="18"/>
              </w:rPr>
            </w:pPr>
            <w:r w:rsidRPr="00AB6725">
              <w:rPr>
                <w:rFonts w:cs="Arial"/>
                <w:color w:val="000000"/>
                <w:sz w:val="18"/>
                <w:szCs w:val="18"/>
              </w:rPr>
              <w:t>-8,778</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21EE63DC" w14:textId="77777777" w:rsidR="00AB6725" w:rsidRPr="00AB6725" w:rsidRDefault="00AB6725" w:rsidP="00AB6725">
            <w:pPr>
              <w:jc w:val="right"/>
              <w:rPr>
                <w:rFonts w:cs="Arial"/>
                <w:color w:val="0070C0"/>
                <w:sz w:val="18"/>
                <w:szCs w:val="18"/>
              </w:rPr>
            </w:pPr>
            <w:r w:rsidRPr="00AB6725">
              <w:rPr>
                <w:rFonts w:cs="Arial"/>
                <w:color w:val="000000"/>
                <w:sz w:val="18"/>
                <w:szCs w:val="18"/>
              </w:rPr>
              <w:t>-144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79B7E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-29,490</w:t>
            </w:r>
          </w:p>
        </w:tc>
        <w:tc>
          <w:tcPr>
            <w:tcW w:w="1417" w:type="dxa"/>
            <w:tcBorders>
              <w:top w:val="nil"/>
              <w:left w:val="nil"/>
              <w:bottom w:val="single" w:sz="4" w:space="0" w:color="auto"/>
              <w:right w:val="single" w:sz="4" w:space="0" w:color="auto"/>
            </w:tcBorders>
            <w:shd w:val="clear" w:color="auto" w:fill="auto"/>
            <w:noWrap/>
            <w:vAlign w:val="center"/>
            <w:hideMark/>
          </w:tcPr>
          <w:p w14:paraId="4590EF9C" w14:textId="77777777" w:rsidR="00AB6725" w:rsidRPr="00AB6725" w:rsidRDefault="00AB6725" w:rsidP="00AB6725">
            <w:pPr>
              <w:jc w:val="right"/>
              <w:rPr>
                <w:rFonts w:cs="Arial"/>
                <w:color w:val="0070C0"/>
                <w:sz w:val="18"/>
                <w:szCs w:val="18"/>
              </w:rPr>
            </w:pPr>
            <w:r w:rsidRPr="00AB6725">
              <w:rPr>
                <w:rFonts w:cs="Arial"/>
                <w:color w:val="000000"/>
                <w:sz w:val="18"/>
                <w:szCs w:val="18"/>
              </w:rPr>
              <w:t>-8,105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45139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1,806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90D01C9" w14:textId="77777777" w:rsidR="00AB6725" w:rsidRPr="00AB6725" w:rsidRDefault="00AB6725" w:rsidP="00AB6725">
            <w:pPr>
              <w:jc w:val="right"/>
              <w:rPr>
                <w:rFonts w:cs="Arial"/>
                <w:color w:val="0070C0"/>
                <w:sz w:val="18"/>
                <w:szCs w:val="18"/>
              </w:rPr>
            </w:pPr>
            <w:r w:rsidRPr="00AB6725">
              <w:rPr>
                <w:rFonts w:cs="Arial"/>
                <w:color w:val="000000"/>
                <w:sz w:val="18"/>
                <w:szCs w:val="18"/>
              </w:rPr>
              <w:t>8,156</w:t>
            </w:r>
          </w:p>
        </w:tc>
        <w:tc>
          <w:tcPr>
            <w:tcW w:w="1134" w:type="dxa"/>
            <w:tcBorders>
              <w:top w:val="nil"/>
              <w:left w:val="nil"/>
              <w:bottom w:val="single" w:sz="4" w:space="0" w:color="auto"/>
              <w:right w:val="single" w:sz="4" w:space="0" w:color="auto"/>
            </w:tcBorders>
            <w:shd w:val="clear" w:color="auto" w:fill="auto"/>
            <w:noWrap/>
            <w:vAlign w:val="center"/>
          </w:tcPr>
          <w:p w14:paraId="130A60E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9,962</w:t>
            </w:r>
          </w:p>
        </w:tc>
      </w:tr>
      <w:tr w:rsidR="00AB6725" w:rsidRPr="00AB6725" w14:paraId="06CF9BE2"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7E8308A" w14:textId="77777777" w:rsidR="00AB6725" w:rsidRPr="00AB6725" w:rsidRDefault="00AB6725" w:rsidP="00AB6725">
            <w:pPr>
              <w:jc w:val="right"/>
              <w:rPr>
                <w:rFonts w:cs="Arial"/>
                <w:color w:val="0070C0"/>
                <w:sz w:val="18"/>
                <w:szCs w:val="18"/>
              </w:rPr>
            </w:pPr>
            <w:r w:rsidRPr="00AB6725">
              <w:rPr>
                <w:rFonts w:cs="Arial"/>
                <w:sz w:val="18"/>
                <w:szCs w:val="18"/>
              </w:rPr>
              <w:t>2025.26</w:t>
            </w:r>
          </w:p>
        </w:tc>
        <w:tc>
          <w:tcPr>
            <w:tcW w:w="1059" w:type="dxa"/>
            <w:tcBorders>
              <w:top w:val="nil"/>
              <w:left w:val="nil"/>
              <w:bottom w:val="single" w:sz="4" w:space="0" w:color="auto"/>
              <w:right w:val="single" w:sz="4" w:space="0" w:color="auto"/>
            </w:tcBorders>
            <w:shd w:val="clear" w:color="auto" w:fill="auto"/>
            <w:noWrap/>
            <w:vAlign w:val="center"/>
            <w:hideMark/>
          </w:tcPr>
          <w:p w14:paraId="419AD6B4" w14:textId="77777777" w:rsidR="00AB6725" w:rsidRPr="00AB6725" w:rsidRDefault="00AB6725" w:rsidP="00AB6725">
            <w:pPr>
              <w:jc w:val="right"/>
              <w:rPr>
                <w:rFonts w:cs="Arial"/>
                <w:color w:val="0070C0"/>
                <w:sz w:val="18"/>
                <w:szCs w:val="18"/>
              </w:rPr>
            </w:pPr>
            <w:r w:rsidRPr="00AB6725">
              <w:rPr>
                <w:rFonts w:cs="Arial"/>
                <w:color w:val="000000"/>
                <w:sz w:val="18"/>
                <w:szCs w:val="18"/>
              </w:rPr>
              <w:t>37,406</w:t>
            </w:r>
          </w:p>
        </w:tc>
        <w:tc>
          <w:tcPr>
            <w:tcW w:w="992" w:type="dxa"/>
            <w:tcBorders>
              <w:top w:val="nil"/>
              <w:left w:val="nil"/>
              <w:bottom w:val="single" w:sz="4" w:space="0" w:color="auto"/>
              <w:right w:val="single" w:sz="4" w:space="0" w:color="auto"/>
            </w:tcBorders>
            <w:shd w:val="clear" w:color="auto" w:fill="auto"/>
            <w:noWrap/>
            <w:vAlign w:val="center"/>
            <w:hideMark/>
          </w:tcPr>
          <w:p w14:paraId="6C2B968C" w14:textId="77777777" w:rsidR="00AB6725" w:rsidRPr="00AB6725" w:rsidRDefault="00AB6725" w:rsidP="00AB6725">
            <w:pPr>
              <w:jc w:val="right"/>
              <w:rPr>
                <w:rFonts w:cs="Arial"/>
                <w:color w:val="0070C0"/>
                <w:sz w:val="18"/>
                <w:szCs w:val="18"/>
              </w:rPr>
            </w:pPr>
            <w:r w:rsidRPr="00AB6725">
              <w:rPr>
                <w:rFonts w:cs="Arial"/>
                <w:color w:val="000000"/>
                <w:sz w:val="18"/>
                <w:szCs w:val="18"/>
              </w:rPr>
              <w:t>3,548</w:t>
            </w:r>
          </w:p>
        </w:tc>
        <w:tc>
          <w:tcPr>
            <w:tcW w:w="992" w:type="dxa"/>
            <w:tcBorders>
              <w:top w:val="nil"/>
              <w:left w:val="nil"/>
              <w:bottom w:val="single" w:sz="4" w:space="0" w:color="auto"/>
              <w:right w:val="single" w:sz="4" w:space="0" w:color="auto"/>
            </w:tcBorders>
            <w:shd w:val="clear" w:color="auto" w:fill="auto"/>
            <w:noWrap/>
            <w:vAlign w:val="center"/>
            <w:hideMark/>
          </w:tcPr>
          <w:p w14:paraId="5F3B6CE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40,954</w:t>
            </w:r>
          </w:p>
        </w:tc>
        <w:tc>
          <w:tcPr>
            <w:tcW w:w="1103" w:type="dxa"/>
            <w:tcBorders>
              <w:top w:val="nil"/>
              <w:left w:val="nil"/>
              <w:bottom w:val="single" w:sz="4" w:space="0" w:color="auto"/>
              <w:right w:val="single" w:sz="4" w:space="0" w:color="auto"/>
            </w:tcBorders>
            <w:shd w:val="clear" w:color="auto" w:fill="auto"/>
            <w:noWrap/>
            <w:vAlign w:val="center"/>
            <w:hideMark/>
          </w:tcPr>
          <w:p w14:paraId="05CE8184" w14:textId="77777777" w:rsidR="00AB6725" w:rsidRPr="00AB6725" w:rsidRDefault="00AB6725" w:rsidP="00AB6725">
            <w:pPr>
              <w:jc w:val="right"/>
              <w:rPr>
                <w:rFonts w:cs="Arial"/>
                <w:color w:val="0070C0"/>
                <w:sz w:val="18"/>
                <w:szCs w:val="18"/>
              </w:rPr>
            </w:pPr>
            <w:r w:rsidRPr="00AB6725">
              <w:rPr>
                <w:rFonts w:cs="Arial"/>
                <w:color w:val="000000"/>
                <w:sz w:val="18"/>
                <w:szCs w:val="18"/>
              </w:rPr>
              <w:t>-11,876</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5E4B4805" w14:textId="77777777" w:rsidR="00AB6725" w:rsidRPr="00AB6725" w:rsidRDefault="00AB6725" w:rsidP="00AB6725">
            <w:pPr>
              <w:jc w:val="right"/>
              <w:rPr>
                <w:rFonts w:cs="Arial"/>
                <w:color w:val="0070C0"/>
                <w:sz w:val="18"/>
                <w:szCs w:val="18"/>
              </w:rPr>
            </w:pPr>
            <w:r w:rsidRPr="00AB6725">
              <w:rPr>
                <w:rFonts w:cs="Arial"/>
                <w:color w:val="000000"/>
                <w:sz w:val="18"/>
                <w:szCs w:val="18"/>
              </w:rPr>
              <w:t>-9,625</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916C1F5" w14:textId="77777777" w:rsidR="00AB6725" w:rsidRPr="00AB6725" w:rsidRDefault="00AB6725" w:rsidP="00AB6725">
            <w:pPr>
              <w:jc w:val="right"/>
              <w:rPr>
                <w:rFonts w:cs="Arial"/>
                <w:color w:val="0070C0"/>
                <w:sz w:val="18"/>
                <w:szCs w:val="18"/>
              </w:rPr>
            </w:pPr>
            <w:r w:rsidRPr="00AB6725">
              <w:rPr>
                <w:rFonts w:cs="Arial"/>
                <w:color w:val="000000"/>
                <w:sz w:val="18"/>
                <w:szCs w:val="18"/>
              </w:rPr>
              <w:t>-9,177</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491B9B30" w14:textId="77777777" w:rsidR="00AB6725" w:rsidRPr="00AB6725" w:rsidRDefault="00AB6725" w:rsidP="00AB6725">
            <w:pPr>
              <w:jc w:val="right"/>
              <w:rPr>
                <w:rFonts w:cs="Arial"/>
                <w:color w:val="0070C0"/>
                <w:sz w:val="18"/>
                <w:szCs w:val="18"/>
              </w:rPr>
            </w:pPr>
            <w:r w:rsidRPr="00AB6725">
              <w:rPr>
                <w:rFonts w:cs="Arial"/>
                <w:color w:val="000000"/>
                <w:sz w:val="18"/>
                <w:szCs w:val="18"/>
              </w:rPr>
              <w:t>-147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31D495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-30,825</w:t>
            </w:r>
          </w:p>
        </w:tc>
        <w:tc>
          <w:tcPr>
            <w:tcW w:w="1417" w:type="dxa"/>
            <w:tcBorders>
              <w:top w:val="nil"/>
              <w:left w:val="nil"/>
              <w:bottom w:val="single" w:sz="4" w:space="0" w:color="auto"/>
              <w:right w:val="single" w:sz="4" w:space="0" w:color="auto"/>
            </w:tcBorders>
            <w:shd w:val="clear" w:color="auto" w:fill="auto"/>
            <w:noWrap/>
            <w:vAlign w:val="center"/>
            <w:hideMark/>
          </w:tcPr>
          <w:p w14:paraId="559384B1" w14:textId="77777777" w:rsidR="00AB6725" w:rsidRPr="00AB6725" w:rsidRDefault="00AB6725" w:rsidP="00AB6725">
            <w:pPr>
              <w:jc w:val="right"/>
              <w:rPr>
                <w:rFonts w:cs="Arial"/>
                <w:color w:val="0070C0"/>
                <w:sz w:val="18"/>
                <w:szCs w:val="18"/>
              </w:rPr>
            </w:pPr>
            <w:r w:rsidRPr="00AB6725">
              <w:rPr>
                <w:rFonts w:cs="Arial"/>
                <w:color w:val="000000"/>
                <w:sz w:val="18"/>
                <w:szCs w:val="18"/>
              </w:rPr>
              <w:t>-8,326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7565E5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1,803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76DA929" w14:textId="77777777" w:rsidR="00AB6725" w:rsidRPr="00AB6725" w:rsidRDefault="00AB6725" w:rsidP="00AB6725">
            <w:pPr>
              <w:jc w:val="right"/>
              <w:rPr>
                <w:rFonts w:cs="Arial"/>
                <w:color w:val="0070C0"/>
                <w:sz w:val="18"/>
                <w:szCs w:val="18"/>
              </w:rPr>
            </w:pPr>
            <w:r w:rsidRPr="00AB6725">
              <w:rPr>
                <w:rFonts w:cs="Arial"/>
                <w:color w:val="000000"/>
                <w:sz w:val="18"/>
                <w:szCs w:val="18"/>
              </w:rPr>
              <w:t>9,962</w:t>
            </w:r>
          </w:p>
        </w:tc>
        <w:tc>
          <w:tcPr>
            <w:tcW w:w="1134" w:type="dxa"/>
            <w:tcBorders>
              <w:top w:val="nil"/>
              <w:left w:val="nil"/>
              <w:bottom w:val="single" w:sz="4" w:space="0" w:color="auto"/>
              <w:right w:val="single" w:sz="4" w:space="0" w:color="auto"/>
            </w:tcBorders>
            <w:shd w:val="clear" w:color="auto" w:fill="auto"/>
            <w:noWrap/>
            <w:vAlign w:val="center"/>
          </w:tcPr>
          <w:p w14:paraId="74FF724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11,765</w:t>
            </w:r>
          </w:p>
        </w:tc>
      </w:tr>
      <w:tr w:rsidR="00AB6725" w:rsidRPr="00AB6725" w14:paraId="17DCDD63"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59BE645" w14:textId="77777777" w:rsidR="00AB6725" w:rsidRPr="00AB6725" w:rsidRDefault="00AB6725" w:rsidP="00AB6725">
            <w:pPr>
              <w:jc w:val="right"/>
              <w:rPr>
                <w:rFonts w:cs="Arial"/>
                <w:color w:val="0070C0"/>
                <w:sz w:val="18"/>
                <w:szCs w:val="18"/>
              </w:rPr>
            </w:pPr>
            <w:r w:rsidRPr="00AB6725">
              <w:rPr>
                <w:rFonts w:cs="Arial"/>
                <w:sz w:val="18"/>
                <w:szCs w:val="18"/>
              </w:rPr>
              <w:t>2026.27</w:t>
            </w:r>
          </w:p>
        </w:tc>
        <w:tc>
          <w:tcPr>
            <w:tcW w:w="1059" w:type="dxa"/>
            <w:tcBorders>
              <w:top w:val="nil"/>
              <w:left w:val="nil"/>
              <w:bottom w:val="single" w:sz="4" w:space="0" w:color="auto"/>
              <w:right w:val="single" w:sz="4" w:space="0" w:color="auto"/>
            </w:tcBorders>
            <w:shd w:val="clear" w:color="auto" w:fill="auto"/>
            <w:noWrap/>
            <w:vAlign w:val="center"/>
            <w:hideMark/>
          </w:tcPr>
          <w:p w14:paraId="28DDD59C" w14:textId="77777777" w:rsidR="00AB6725" w:rsidRPr="00AB6725" w:rsidRDefault="00AB6725" w:rsidP="00AB6725">
            <w:pPr>
              <w:jc w:val="right"/>
              <w:rPr>
                <w:rFonts w:cs="Arial"/>
                <w:color w:val="0070C0"/>
                <w:sz w:val="18"/>
                <w:szCs w:val="18"/>
              </w:rPr>
            </w:pPr>
            <w:r w:rsidRPr="00AB6725">
              <w:rPr>
                <w:rFonts w:cs="Arial"/>
                <w:color w:val="000000"/>
                <w:sz w:val="18"/>
                <w:szCs w:val="18"/>
              </w:rPr>
              <w:t>38,391</w:t>
            </w:r>
          </w:p>
        </w:tc>
        <w:tc>
          <w:tcPr>
            <w:tcW w:w="992" w:type="dxa"/>
            <w:tcBorders>
              <w:top w:val="nil"/>
              <w:left w:val="nil"/>
              <w:bottom w:val="single" w:sz="4" w:space="0" w:color="auto"/>
              <w:right w:val="single" w:sz="4" w:space="0" w:color="auto"/>
            </w:tcBorders>
            <w:shd w:val="clear" w:color="auto" w:fill="auto"/>
            <w:noWrap/>
            <w:vAlign w:val="center"/>
            <w:hideMark/>
          </w:tcPr>
          <w:p w14:paraId="615894C4" w14:textId="77777777" w:rsidR="00AB6725" w:rsidRPr="00AB6725" w:rsidRDefault="00AB6725" w:rsidP="00AB6725">
            <w:pPr>
              <w:jc w:val="right"/>
              <w:rPr>
                <w:rFonts w:cs="Arial"/>
                <w:color w:val="0070C0"/>
                <w:sz w:val="18"/>
                <w:szCs w:val="18"/>
              </w:rPr>
            </w:pPr>
            <w:r w:rsidRPr="00AB6725">
              <w:rPr>
                <w:rFonts w:cs="Arial"/>
                <w:color w:val="000000"/>
                <w:sz w:val="18"/>
                <w:szCs w:val="18"/>
              </w:rPr>
              <w:t>3,604</w:t>
            </w:r>
          </w:p>
        </w:tc>
        <w:tc>
          <w:tcPr>
            <w:tcW w:w="992" w:type="dxa"/>
            <w:tcBorders>
              <w:top w:val="nil"/>
              <w:left w:val="nil"/>
              <w:bottom w:val="single" w:sz="4" w:space="0" w:color="auto"/>
              <w:right w:val="single" w:sz="4" w:space="0" w:color="auto"/>
            </w:tcBorders>
            <w:shd w:val="clear" w:color="auto" w:fill="auto"/>
            <w:noWrap/>
            <w:vAlign w:val="center"/>
            <w:hideMark/>
          </w:tcPr>
          <w:p w14:paraId="1E500DE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41,995</w:t>
            </w:r>
          </w:p>
        </w:tc>
        <w:tc>
          <w:tcPr>
            <w:tcW w:w="1103" w:type="dxa"/>
            <w:tcBorders>
              <w:top w:val="nil"/>
              <w:left w:val="nil"/>
              <w:bottom w:val="single" w:sz="4" w:space="0" w:color="auto"/>
              <w:right w:val="single" w:sz="4" w:space="0" w:color="auto"/>
            </w:tcBorders>
            <w:shd w:val="clear" w:color="auto" w:fill="auto"/>
            <w:noWrap/>
            <w:vAlign w:val="center"/>
            <w:hideMark/>
          </w:tcPr>
          <w:p w14:paraId="00322393" w14:textId="77777777" w:rsidR="00AB6725" w:rsidRPr="00AB6725" w:rsidRDefault="00AB6725" w:rsidP="00AB6725">
            <w:pPr>
              <w:jc w:val="right"/>
              <w:rPr>
                <w:rFonts w:cs="Arial"/>
                <w:color w:val="0070C0"/>
                <w:sz w:val="18"/>
                <w:szCs w:val="18"/>
              </w:rPr>
            </w:pPr>
            <w:r w:rsidRPr="00AB6725">
              <w:rPr>
                <w:rFonts w:cs="Arial"/>
                <w:color w:val="000000"/>
                <w:sz w:val="18"/>
                <w:szCs w:val="18"/>
              </w:rPr>
              <w:t>-12,113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1E8B6AEA" w14:textId="77777777" w:rsidR="00AB6725" w:rsidRPr="00AB6725" w:rsidRDefault="00AB6725" w:rsidP="00AB6725">
            <w:pPr>
              <w:jc w:val="right"/>
              <w:rPr>
                <w:rFonts w:cs="Arial"/>
                <w:color w:val="0070C0"/>
                <w:sz w:val="18"/>
                <w:szCs w:val="18"/>
              </w:rPr>
            </w:pPr>
            <w:r w:rsidRPr="00AB6725">
              <w:rPr>
                <w:rFonts w:cs="Arial"/>
                <w:color w:val="000000"/>
                <w:sz w:val="18"/>
                <w:szCs w:val="18"/>
              </w:rPr>
              <w:t>-10,052</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5914270" w14:textId="77777777" w:rsidR="00AB6725" w:rsidRPr="00AB6725" w:rsidRDefault="00AB6725" w:rsidP="00AB6725">
            <w:pPr>
              <w:jc w:val="right"/>
              <w:rPr>
                <w:rFonts w:cs="Arial"/>
                <w:color w:val="0070C0"/>
                <w:sz w:val="18"/>
                <w:szCs w:val="18"/>
              </w:rPr>
            </w:pPr>
            <w:r w:rsidRPr="00AB6725">
              <w:rPr>
                <w:rFonts w:cs="Arial"/>
                <w:color w:val="000000"/>
                <w:sz w:val="18"/>
                <w:szCs w:val="18"/>
              </w:rPr>
              <w:t>-9,474</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10AEAA17" w14:textId="77777777" w:rsidR="00AB6725" w:rsidRPr="00AB6725" w:rsidRDefault="00AB6725" w:rsidP="00AB6725">
            <w:pPr>
              <w:jc w:val="right"/>
              <w:rPr>
                <w:rFonts w:cs="Arial"/>
                <w:color w:val="0070C0"/>
                <w:sz w:val="18"/>
                <w:szCs w:val="18"/>
              </w:rPr>
            </w:pPr>
            <w:r w:rsidRPr="00AB6725">
              <w:rPr>
                <w:rFonts w:cs="Arial"/>
                <w:color w:val="000000"/>
                <w:sz w:val="18"/>
                <w:szCs w:val="18"/>
              </w:rPr>
              <w:t>-150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7C0014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-31,790</w:t>
            </w:r>
          </w:p>
        </w:tc>
        <w:tc>
          <w:tcPr>
            <w:tcW w:w="1417" w:type="dxa"/>
            <w:tcBorders>
              <w:top w:val="nil"/>
              <w:left w:val="nil"/>
              <w:bottom w:val="single" w:sz="4" w:space="0" w:color="auto"/>
              <w:right w:val="single" w:sz="4" w:space="0" w:color="auto"/>
            </w:tcBorders>
            <w:shd w:val="clear" w:color="auto" w:fill="auto"/>
            <w:noWrap/>
            <w:vAlign w:val="center"/>
            <w:hideMark/>
          </w:tcPr>
          <w:p w14:paraId="3BFEFC15" w14:textId="77777777" w:rsidR="00AB6725" w:rsidRPr="00AB6725" w:rsidRDefault="00AB6725" w:rsidP="00AB6725">
            <w:pPr>
              <w:jc w:val="right"/>
              <w:rPr>
                <w:rFonts w:cs="Arial"/>
                <w:color w:val="0070C0"/>
                <w:sz w:val="18"/>
                <w:szCs w:val="18"/>
              </w:rPr>
            </w:pPr>
            <w:r w:rsidRPr="00AB6725">
              <w:rPr>
                <w:rFonts w:cs="Arial"/>
                <w:color w:val="000000"/>
                <w:sz w:val="18"/>
                <w:szCs w:val="18"/>
              </w:rPr>
              <w:t>-8,313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01976F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1,893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BF4AFB4" w14:textId="77777777" w:rsidR="00AB6725" w:rsidRPr="00AB6725" w:rsidRDefault="00AB6725" w:rsidP="00AB6725">
            <w:pPr>
              <w:jc w:val="right"/>
              <w:rPr>
                <w:rFonts w:cs="Arial"/>
                <w:color w:val="0070C0"/>
                <w:sz w:val="18"/>
                <w:szCs w:val="18"/>
              </w:rPr>
            </w:pPr>
            <w:r w:rsidRPr="00AB6725">
              <w:rPr>
                <w:rFonts w:cs="Arial"/>
                <w:color w:val="000000"/>
                <w:sz w:val="18"/>
                <w:szCs w:val="18"/>
              </w:rPr>
              <w:t>11,765</w:t>
            </w:r>
          </w:p>
        </w:tc>
        <w:tc>
          <w:tcPr>
            <w:tcW w:w="1134" w:type="dxa"/>
            <w:tcBorders>
              <w:top w:val="nil"/>
              <w:left w:val="nil"/>
              <w:bottom w:val="single" w:sz="4" w:space="0" w:color="auto"/>
              <w:right w:val="single" w:sz="4" w:space="0" w:color="auto"/>
            </w:tcBorders>
            <w:shd w:val="clear" w:color="auto" w:fill="auto"/>
            <w:noWrap/>
            <w:vAlign w:val="center"/>
          </w:tcPr>
          <w:p w14:paraId="6505500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13,658</w:t>
            </w:r>
          </w:p>
        </w:tc>
      </w:tr>
      <w:tr w:rsidR="00AB6725" w:rsidRPr="00AB6725" w14:paraId="2A49B941"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F25F091" w14:textId="77777777" w:rsidR="00AB6725" w:rsidRPr="00AB6725" w:rsidRDefault="00AB6725" w:rsidP="00AB6725">
            <w:pPr>
              <w:jc w:val="right"/>
              <w:rPr>
                <w:rFonts w:cs="Arial"/>
                <w:color w:val="0070C0"/>
                <w:sz w:val="18"/>
                <w:szCs w:val="18"/>
              </w:rPr>
            </w:pPr>
            <w:r w:rsidRPr="00AB6725">
              <w:rPr>
                <w:rFonts w:cs="Arial"/>
                <w:sz w:val="18"/>
                <w:szCs w:val="18"/>
              </w:rPr>
              <w:t>2027.28</w:t>
            </w:r>
          </w:p>
        </w:tc>
        <w:tc>
          <w:tcPr>
            <w:tcW w:w="1059" w:type="dxa"/>
            <w:tcBorders>
              <w:top w:val="nil"/>
              <w:left w:val="nil"/>
              <w:bottom w:val="single" w:sz="4" w:space="0" w:color="auto"/>
              <w:right w:val="single" w:sz="4" w:space="0" w:color="auto"/>
            </w:tcBorders>
            <w:shd w:val="clear" w:color="auto" w:fill="auto"/>
            <w:noWrap/>
            <w:vAlign w:val="center"/>
            <w:hideMark/>
          </w:tcPr>
          <w:p w14:paraId="3D8A96BC" w14:textId="77777777" w:rsidR="00AB6725" w:rsidRPr="00AB6725" w:rsidRDefault="00AB6725" w:rsidP="00AB6725">
            <w:pPr>
              <w:jc w:val="right"/>
              <w:rPr>
                <w:rFonts w:cs="Arial"/>
                <w:color w:val="0070C0"/>
                <w:sz w:val="18"/>
                <w:szCs w:val="18"/>
              </w:rPr>
            </w:pPr>
            <w:r w:rsidRPr="00AB6725">
              <w:rPr>
                <w:rFonts w:cs="Arial"/>
                <w:color w:val="000000"/>
                <w:sz w:val="18"/>
                <w:szCs w:val="18"/>
              </w:rPr>
              <w:t>39,019</w:t>
            </w:r>
          </w:p>
        </w:tc>
        <w:tc>
          <w:tcPr>
            <w:tcW w:w="992" w:type="dxa"/>
            <w:tcBorders>
              <w:top w:val="nil"/>
              <w:left w:val="nil"/>
              <w:bottom w:val="single" w:sz="4" w:space="0" w:color="auto"/>
              <w:right w:val="single" w:sz="4" w:space="0" w:color="auto"/>
            </w:tcBorders>
            <w:shd w:val="clear" w:color="auto" w:fill="auto"/>
            <w:noWrap/>
            <w:vAlign w:val="center"/>
            <w:hideMark/>
          </w:tcPr>
          <w:p w14:paraId="08C57CA6" w14:textId="77777777" w:rsidR="00AB6725" w:rsidRPr="00AB6725" w:rsidRDefault="00AB6725" w:rsidP="00AB6725">
            <w:pPr>
              <w:jc w:val="right"/>
              <w:rPr>
                <w:rFonts w:cs="Arial"/>
                <w:color w:val="0070C0"/>
                <w:sz w:val="18"/>
                <w:szCs w:val="18"/>
              </w:rPr>
            </w:pPr>
            <w:r w:rsidRPr="00AB6725">
              <w:rPr>
                <w:rFonts w:cs="Arial"/>
                <w:color w:val="000000"/>
                <w:sz w:val="18"/>
                <w:szCs w:val="18"/>
              </w:rPr>
              <w:t>3,662</w:t>
            </w:r>
          </w:p>
        </w:tc>
        <w:tc>
          <w:tcPr>
            <w:tcW w:w="992" w:type="dxa"/>
            <w:tcBorders>
              <w:top w:val="nil"/>
              <w:left w:val="nil"/>
              <w:bottom w:val="single" w:sz="4" w:space="0" w:color="auto"/>
              <w:right w:val="single" w:sz="4" w:space="0" w:color="auto"/>
            </w:tcBorders>
            <w:shd w:val="clear" w:color="auto" w:fill="auto"/>
            <w:noWrap/>
            <w:vAlign w:val="center"/>
            <w:hideMark/>
          </w:tcPr>
          <w:p w14:paraId="1B4B915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42,681</w:t>
            </w:r>
          </w:p>
        </w:tc>
        <w:tc>
          <w:tcPr>
            <w:tcW w:w="1103" w:type="dxa"/>
            <w:tcBorders>
              <w:top w:val="nil"/>
              <w:left w:val="nil"/>
              <w:bottom w:val="single" w:sz="4" w:space="0" w:color="auto"/>
              <w:right w:val="single" w:sz="4" w:space="0" w:color="auto"/>
            </w:tcBorders>
            <w:shd w:val="clear" w:color="auto" w:fill="auto"/>
            <w:noWrap/>
            <w:vAlign w:val="center"/>
            <w:hideMark/>
          </w:tcPr>
          <w:p w14:paraId="3D12C64A" w14:textId="77777777" w:rsidR="00AB6725" w:rsidRPr="00AB6725" w:rsidRDefault="00AB6725" w:rsidP="00AB6725">
            <w:pPr>
              <w:jc w:val="right"/>
              <w:rPr>
                <w:rFonts w:cs="Arial"/>
                <w:color w:val="0070C0"/>
                <w:sz w:val="18"/>
                <w:szCs w:val="18"/>
              </w:rPr>
            </w:pPr>
            <w:r w:rsidRPr="00AB6725">
              <w:rPr>
                <w:rFonts w:cs="Arial"/>
                <w:color w:val="000000"/>
                <w:sz w:val="18"/>
                <w:szCs w:val="18"/>
              </w:rPr>
              <w:t>-12,356</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144DD403" w14:textId="77777777" w:rsidR="00AB6725" w:rsidRPr="00AB6725" w:rsidRDefault="00AB6725" w:rsidP="00AB6725">
            <w:pPr>
              <w:jc w:val="right"/>
              <w:rPr>
                <w:rFonts w:cs="Arial"/>
                <w:color w:val="0070C0"/>
                <w:sz w:val="18"/>
                <w:szCs w:val="18"/>
              </w:rPr>
            </w:pPr>
            <w:r w:rsidRPr="00AB6725">
              <w:rPr>
                <w:rFonts w:cs="Arial"/>
                <w:color w:val="000000"/>
                <w:sz w:val="18"/>
                <w:szCs w:val="18"/>
              </w:rPr>
              <w:t>-10,306</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8CB2360" w14:textId="77777777" w:rsidR="00AB6725" w:rsidRPr="00AB6725" w:rsidRDefault="00AB6725" w:rsidP="00AB6725">
            <w:pPr>
              <w:jc w:val="right"/>
              <w:rPr>
                <w:rFonts w:cs="Arial"/>
                <w:color w:val="0070C0"/>
                <w:sz w:val="18"/>
                <w:szCs w:val="18"/>
              </w:rPr>
            </w:pPr>
            <w:r w:rsidRPr="00AB6725">
              <w:rPr>
                <w:rFonts w:cs="Arial"/>
                <w:color w:val="000000"/>
                <w:sz w:val="18"/>
                <w:szCs w:val="18"/>
              </w:rPr>
              <w:t>-9,735</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7418DAC3" w14:textId="77777777" w:rsidR="00AB6725" w:rsidRPr="00AB6725" w:rsidRDefault="00AB6725" w:rsidP="00AB6725">
            <w:pPr>
              <w:jc w:val="right"/>
              <w:rPr>
                <w:rFonts w:cs="Arial"/>
                <w:color w:val="0070C0"/>
                <w:sz w:val="18"/>
                <w:szCs w:val="18"/>
              </w:rPr>
            </w:pPr>
            <w:r w:rsidRPr="00AB6725">
              <w:rPr>
                <w:rFonts w:cs="Arial"/>
                <w:color w:val="000000"/>
                <w:sz w:val="18"/>
                <w:szCs w:val="18"/>
              </w:rPr>
              <w:t>-153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88D503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-32,550</w:t>
            </w:r>
          </w:p>
        </w:tc>
        <w:tc>
          <w:tcPr>
            <w:tcW w:w="1417" w:type="dxa"/>
            <w:tcBorders>
              <w:top w:val="nil"/>
              <w:left w:val="nil"/>
              <w:bottom w:val="single" w:sz="4" w:space="0" w:color="auto"/>
              <w:right w:val="single" w:sz="4" w:space="0" w:color="auto"/>
            </w:tcBorders>
            <w:shd w:val="clear" w:color="auto" w:fill="auto"/>
            <w:noWrap/>
            <w:vAlign w:val="center"/>
            <w:hideMark/>
          </w:tcPr>
          <w:p w14:paraId="604B450A" w14:textId="77777777" w:rsidR="00AB6725" w:rsidRPr="00AB6725" w:rsidRDefault="00AB6725" w:rsidP="00AB6725">
            <w:pPr>
              <w:jc w:val="right"/>
              <w:rPr>
                <w:rFonts w:cs="Arial"/>
                <w:color w:val="0070C0"/>
                <w:sz w:val="18"/>
                <w:szCs w:val="18"/>
              </w:rPr>
            </w:pPr>
            <w:r w:rsidRPr="00AB6725">
              <w:rPr>
                <w:rFonts w:cs="Arial"/>
                <w:color w:val="000000"/>
                <w:sz w:val="18"/>
                <w:szCs w:val="18"/>
              </w:rPr>
              <w:t>-8,300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2A4829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1,832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C330BFD" w14:textId="77777777" w:rsidR="00AB6725" w:rsidRPr="00AB6725" w:rsidRDefault="00AB6725" w:rsidP="00AB6725">
            <w:pPr>
              <w:jc w:val="right"/>
              <w:rPr>
                <w:rFonts w:cs="Arial"/>
                <w:color w:val="0070C0"/>
                <w:sz w:val="18"/>
                <w:szCs w:val="18"/>
              </w:rPr>
            </w:pPr>
            <w:r w:rsidRPr="00AB6725">
              <w:rPr>
                <w:rFonts w:cs="Arial"/>
                <w:color w:val="000000"/>
                <w:sz w:val="18"/>
                <w:szCs w:val="18"/>
              </w:rPr>
              <w:t>13,658</w:t>
            </w:r>
          </w:p>
        </w:tc>
        <w:tc>
          <w:tcPr>
            <w:tcW w:w="1134" w:type="dxa"/>
            <w:tcBorders>
              <w:top w:val="nil"/>
              <w:left w:val="nil"/>
              <w:bottom w:val="single" w:sz="4" w:space="0" w:color="auto"/>
              <w:right w:val="single" w:sz="4" w:space="0" w:color="auto"/>
            </w:tcBorders>
            <w:shd w:val="clear" w:color="auto" w:fill="auto"/>
            <w:noWrap/>
            <w:vAlign w:val="center"/>
          </w:tcPr>
          <w:p w14:paraId="0D5FABA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15,489</w:t>
            </w:r>
          </w:p>
        </w:tc>
      </w:tr>
      <w:tr w:rsidR="00AB6725" w:rsidRPr="00AB6725" w14:paraId="08CCA9AD"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954CF4C" w14:textId="77777777" w:rsidR="00AB6725" w:rsidRPr="00AB6725" w:rsidRDefault="00AB6725" w:rsidP="00AB6725">
            <w:pPr>
              <w:jc w:val="right"/>
              <w:rPr>
                <w:rFonts w:cs="Arial"/>
                <w:color w:val="0070C0"/>
                <w:sz w:val="18"/>
                <w:szCs w:val="18"/>
              </w:rPr>
            </w:pPr>
            <w:r w:rsidRPr="00AB6725">
              <w:rPr>
                <w:rFonts w:cs="Arial"/>
                <w:sz w:val="18"/>
                <w:szCs w:val="18"/>
              </w:rPr>
              <w:t>2028.29</w:t>
            </w:r>
          </w:p>
        </w:tc>
        <w:tc>
          <w:tcPr>
            <w:tcW w:w="1059" w:type="dxa"/>
            <w:tcBorders>
              <w:top w:val="nil"/>
              <w:left w:val="nil"/>
              <w:bottom w:val="single" w:sz="4" w:space="0" w:color="auto"/>
              <w:right w:val="single" w:sz="4" w:space="0" w:color="auto"/>
            </w:tcBorders>
            <w:shd w:val="clear" w:color="auto" w:fill="auto"/>
            <w:noWrap/>
            <w:vAlign w:val="center"/>
            <w:hideMark/>
          </w:tcPr>
          <w:p w14:paraId="75A18AE5" w14:textId="77777777" w:rsidR="00AB6725" w:rsidRPr="00AB6725" w:rsidRDefault="00AB6725" w:rsidP="00AB6725">
            <w:pPr>
              <w:jc w:val="right"/>
              <w:rPr>
                <w:rFonts w:cs="Arial"/>
                <w:color w:val="0070C0"/>
                <w:sz w:val="18"/>
                <w:szCs w:val="18"/>
              </w:rPr>
            </w:pPr>
            <w:r w:rsidRPr="00AB6725">
              <w:rPr>
                <w:rFonts w:cs="Arial"/>
                <w:color w:val="000000"/>
                <w:sz w:val="18"/>
                <w:szCs w:val="18"/>
              </w:rPr>
              <w:t>39,657</w:t>
            </w:r>
          </w:p>
        </w:tc>
        <w:tc>
          <w:tcPr>
            <w:tcW w:w="992" w:type="dxa"/>
            <w:tcBorders>
              <w:top w:val="nil"/>
              <w:left w:val="nil"/>
              <w:bottom w:val="single" w:sz="4" w:space="0" w:color="auto"/>
              <w:right w:val="single" w:sz="4" w:space="0" w:color="auto"/>
            </w:tcBorders>
            <w:shd w:val="clear" w:color="auto" w:fill="auto"/>
            <w:noWrap/>
            <w:vAlign w:val="center"/>
            <w:hideMark/>
          </w:tcPr>
          <w:p w14:paraId="515A6FCC" w14:textId="77777777" w:rsidR="00AB6725" w:rsidRPr="00AB6725" w:rsidRDefault="00AB6725" w:rsidP="00AB6725">
            <w:pPr>
              <w:jc w:val="right"/>
              <w:rPr>
                <w:rFonts w:cs="Arial"/>
                <w:color w:val="0070C0"/>
                <w:sz w:val="18"/>
                <w:szCs w:val="18"/>
              </w:rPr>
            </w:pPr>
            <w:r w:rsidRPr="00AB6725">
              <w:rPr>
                <w:rFonts w:cs="Arial"/>
                <w:color w:val="000000"/>
                <w:sz w:val="18"/>
                <w:szCs w:val="18"/>
              </w:rPr>
              <w:t>3,721</w:t>
            </w:r>
          </w:p>
        </w:tc>
        <w:tc>
          <w:tcPr>
            <w:tcW w:w="992" w:type="dxa"/>
            <w:tcBorders>
              <w:top w:val="nil"/>
              <w:left w:val="nil"/>
              <w:bottom w:val="single" w:sz="4" w:space="0" w:color="auto"/>
              <w:right w:val="single" w:sz="4" w:space="0" w:color="auto"/>
            </w:tcBorders>
            <w:shd w:val="clear" w:color="auto" w:fill="auto"/>
            <w:noWrap/>
            <w:vAlign w:val="center"/>
            <w:hideMark/>
          </w:tcPr>
          <w:p w14:paraId="157FC1A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43,378</w:t>
            </w:r>
          </w:p>
        </w:tc>
        <w:tc>
          <w:tcPr>
            <w:tcW w:w="1103" w:type="dxa"/>
            <w:tcBorders>
              <w:top w:val="nil"/>
              <w:left w:val="nil"/>
              <w:bottom w:val="single" w:sz="4" w:space="0" w:color="auto"/>
              <w:right w:val="single" w:sz="4" w:space="0" w:color="auto"/>
            </w:tcBorders>
            <w:shd w:val="clear" w:color="auto" w:fill="auto"/>
            <w:noWrap/>
            <w:vAlign w:val="center"/>
            <w:hideMark/>
          </w:tcPr>
          <w:p w14:paraId="6134BD4B" w14:textId="77777777" w:rsidR="00AB6725" w:rsidRPr="00AB6725" w:rsidRDefault="00AB6725" w:rsidP="00AB6725">
            <w:pPr>
              <w:jc w:val="right"/>
              <w:rPr>
                <w:rFonts w:cs="Arial"/>
                <w:color w:val="0070C0"/>
                <w:sz w:val="18"/>
                <w:szCs w:val="18"/>
              </w:rPr>
            </w:pPr>
            <w:r w:rsidRPr="00AB6725">
              <w:rPr>
                <w:rFonts w:cs="Arial"/>
                <w:color w:val="000000"/>
                <w:sz w:val="18"/>
                <w:szCs w:val="18"/>
              </w:rPr>
              <w:t>-12,603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3F4EC4BB" w14:textId="77777777" w:rsidR="00AB6725" w:rsidRPr="00AB6725" w:rsidRDefault="00AB6725" w:rsidP="00AB6725">
            <w:pPr>
              <w:jc w:val="right"/>
              <w:rPr>
                <w:rFonts w:cs="Arial"/>
                <w:color w:val="0070C0"/>
                <w:sz w:val="18"/>
                <w:szCs w:val="18"/>
              </w:rPr>
            </w:pPr>
            <w:r w:rsidRPr="00AB6725">
              <w:rPr>
                <w:rFonts w:cs="Arial"/>
                <w:color w:val="000000"/>
                <w:sz w:val="18"/>
                <w:szCs w:val="18"/>
              </w:rPr>
              <w:t>-10,565</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BDE15A5" w14:textId="77777777" w:rsidR="00AB6725" w:rsidRPr="00AB6725" w:rsidRDefault="00AB6725" w:rsidP="00AB6725">
            <w:pPr>
              <w:jc w:val="right"/>
              <w:rPr>
                <w:rFonts w:cs="Arial"/>
                <w:color w:val="0070C0"/>
                <w:sz w:val="18"/>
                <w:szCs w:val="18"/>
              </w:rPr>
            </w:pPr>
            <w:r w:rsidRPr="00AB6725">
              <w:rPr>
                <w:rFonts w:cs="Arial"/>
                <w:color w:val="000000"/>
                <w:sz w:val="18"/>
                <w:szCs w:val="18"/>
              </w:rPr>
              <w:t>-10,004</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21F1415F" w14:textId="77777777" w:rsidR="00AB6725" w:rsidRPr="00AB6725" w:rsidRDefault="00AB6725" w:rsidP="00AB6725">
            <w:pPr>
              <w:jc w:val="right"/>
              <w:rPr>
                <w:rFonts w:cs="Arial"/>
                <w:color w:val="0070C0"/>
                <w:sz w:val="18"/>
                <w:szCs w:val="18"/>
              </w:rPr>
            </w:pPr>
            <w:r w:rsidRPr="00AB6725">
              <w:rPr>
                <w:rFonts w:cs="Arial"/>
                <w:color w:val="000000"/>
                <w:sz w:val="18"/>
                <w:szCs w:val="18"/>
              </w:rPr>
              <w:t>-156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F65989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-33,328</w:t>
            </w:r>
          </w:p>
        </w:tc>
        <w:tc>
          <w:tcPr>
            <w:tcW w:w="1417" w:type="dxa"/>
            <w:tcBorders>
              <w:top w:val="nil"/>
              <w:left w:val="nil"/>
              <w:bottom w:val="single" w:sz="4" w:space="0" w:color="auto"/>
              <w:right w:val="single" w:sz="4" w:space="0" w:color="auto"/>
            </w:tcBorders>
            <w:shd w:val="clear" w:color="auto" w:fill="auto"/>
            <w:noWrap/>
            <w:vAlign w:val="center"/>
            <w:hideMark/>
          </w:tcPr>
          <w:p w14:paraId="379C238A" w14:textId="77777777" w:rsidR="00AB6725" w:rsidRPr="00AB6725" w:rsidRDefault="00AB6725" w:rsidP="00AB6725">
            <w:pPr>
              <w:jc w:val="right"/>
              <w:rPr>
                <w:rFonts w:cs="Arial"/>
                <w:color w:val="0070C0"/>
                <w:sz w:val="18"/>
                <w:szCs w:val="18"/>
              </w:rPr>
            </w:pPr>
            <w:r w:rsidRPr="00AB6725">
              <w:rPr>
                <w:rFonts w:cs="Arial"/>
                <w:color w:val="000000"/>
                <w:sz w:val="18"/>
                <w:szCs w:val="18"/>
              </w:rPr>
              <w:t>-8,288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C0C259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1,762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90A33F8" w14:textId="77777777" w:rsidR="00AB6725" w:rsidRPr="00AB6725" w:rsidRDefault="00AB6725" w:rsidP="00AB6725">
            <w:pPr>
              <w:jc w:val="right"/>
              <w:rPr>
                <w:rFonts w:cs="Arial"/>
                <w:color w:val="0070C0"/>
                <w:sz w:val="18"/>
                <w:szCs w:val="18"/>
              </w:rPr>
            </w:pPr>
            <w:r w:rsidRPr="00AB6725">
              <w:rPr>
                <w:rFonts w:cs="Arial"/>
                <w:color w:val="000000"/>
                <w:sz w:val="18"/>
                <w:szCs w:val="18"/>
              </w:rPr>
              <w:t>15,489</w:t>
            </w:r>
          </w:p>
        </w:tc>
        <w:tc>
          <w:tcPr>
            <w:tcW w:w="1134" w:type="dxa"/>
            <w:tcBorders>
              <w:top w:val="nil"/>
              <w:left w:val="nil"/>
              <w:bottom w:val="single" w:sz="4" w:space="0" w:color="auto"/>
              <w:right w:val="single" w:sz="4" w:space="0" w:color="auto"/>
            </w:tcBorders>
            <w:shd w:val="clear" w:color="auto" w:fill="auto"/>
            <w:noWrap/>
            <w:vAlign w:val="center"/>
          </w:tcPr>
          <w:p w14:paraId="17789A8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17,251</w:t>
            </w:r>
          </w:p>
        </w:tc>
      </w:tr>
      <w:tr w:rsidR="00AB6725" w:rsidRPr="00AB6725" w14:paraId="18B07093"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E95FEA8" w14:textId="77777777" w:rsidR="00AB6725" w:rsidRPr="00AB6725" w:rsidRDefault="00AB6725" w:rsidP="00AB6725">
            <w:pPr>
              <w:jc w:val="right"/>
              <w:rPr>
                <w:rFonts w:cs="Arial"/>
                <w:color w:val="0070C0"/>
                <w:sz w:val="18"/>
                <w:szCs w:val="18"/>
              </w:rPr>
            </w:pPr>
            <w:r w:rsidRPr="00AB6725">
              <w:rPr>
                <w:rFonts w:cs="Arial"/>
                <w:sz w:val="18"/>
                <w:szCs w:val="18"/>
              </w:rPr>
              <w:t>2029.30</w:t>
            </w:r>
          </w:p>
        </w:tc>
        <w:tc>
          <w:tcPr>
            <w:tcW w:w="1059" w:type="dxa"/>
            <w:tcBorders>
              <w:top w:val="nil"/>
              <w:left w:val="nil"/>
              <w:bottom w:val="single" w:sz="4" w:space="0" w:color="auto"/>
              <w:right w:val="single" w:sz="4" w:space="0" w:color="auto"/>
            </w:tcBorders>
            <w:shd w:val="clear" w:color="auto" w:fill="auto"/>
            <w:noWrap/>
            <w:vAlign w:val="center"/>
            <w:hideMark/>
          </w:tcPr>
          <w:p w14:paraId="4B573E55" w14:textId="77777777" w:rsidR="00AB6725" w:rsidRPr="00AB6725" w:rsidRDefault="00AB6725" w:rsidP="00AB6725">
            <w:pPr>
              <w:jc w:val="right"/>
              <w:rPr>
                <w:rFonts w:cs="Arial"/>
                <w:color w:val="0070C0"/>
                <w:sz w:val="18"/>
                <w:szCs w:val="18"/>
              </w:rPr>
            </w:pPr>
            <w:r w:rsidRPr="00AB6725">
              <w:rPr>
                <w:rFonts w:cs="Arial"/>
                <w:color w:val="000000"/>
                <w:sz w:val="18"/>
                <w:szCs w:val="18"/>
              </w:rPr>
              <w:t>40,304</w:t>
            </w:r>
          </w:p>
        </w:tc>
        <w:tc>
          <w:tcPr>
            <w:tcW w:w="992" w:type="dxa"/>
            <w:tcBorders>
              <w:top w:val="nil"/>
              <w:left w:val="nil"/>
              <w:bottom w:val="single" w:sz="4" w:space="0" w:color="auto"/>
              <w:right w:val="single" w:sz="4" w:space="0" w:color="auto"/>
            </w:tcBorders>
            <w:shd w:val="clear" w:color="auto" w:fill="auto"/>
            <w:noWrap/>
            <w:vAlign w:val="center"/>
            <w:hideMark/>
          </w:tcPr>
          <w:p w14:paraId="6CFF31C5" w14:textId="77777777" w:rsidR="00AB6725" w:rsidRPr="00AB6725" w:rsidRDefault="00AB6725" w:rsidP="00AB6725">
            <w:pPr>
              <w:jc w:val="right"/>
              <w:rPr>
                <w:rFonts w:cs="Arial"/>
                <w:color w:val="0070C0"/>
                <w:sz w:val="18"/>
                <w:szCs w:val="18"/>
              </w:rPr>
            </w:pPr>
            <w:r w:rsidRPr="00AB6725">
              <w:rPr>
                <w:rFonts w:cs="Arial"/>
                <w:color w:val="000000"/>
                <w:sz w:val="18"/>
                <w:szCs w:val="18"/>
              </w:rPr>
              <w:t>3,783</w:t>
            </w:r>
          </w:p>
        </w:tc>
        <w:tc>
          <w:tcPr>
            <w:tcW w:w="992" w:type="dxa"/>
            <w:tcBorders>
              <w:top w:val="nil"/>
              <w:left w:val="nil"/>
              <w:bottom w:val="single" w:sz="4" w:space="0" w:color="auto"/>
              <w:right w:val="single" w:sz="4" w:space="0" w:color="auto"/>
            </w:tcBorders>
            <w:shd w:val="clear" w:color="auto" w:fill="auto"/>
            <w:noWrap/>
            <w:vAlign w:val="center"/>
            <w:hideMark/>
          </w:tcPr>
          <w:p w14:paraId="15254C2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44,086</w:t>
            </w:r>
          </w:p>
        </w:tc>
        <w:tc>
          <w:tcPr>
            <w:tcW w:w="1103" w:type="dxa"/>
            <w:tcBorders>
              <w:top w:val="nil"/>
              <w:left w:val="nil"/>
              <w:bottom w:val="single" w:sz="4" w:space="0" w:color="auto"/>
              <w:right w:val="single" w:sz="4" w:space="0" w:color="auto"/>
            </w:tcBorders>
            <w:shd w:val="clear" w:color="auto" w:fill="auto"/>
            <w:noWrap/>
            <w:vAlign w:val="center"/>
            <w:hideMark/>
          </w:tcPr>
          <w:p w14:paraId="52E82CB1" w14:textId="77777777" w:rsidR="00AB6725" w:rsidRPr="00AB6725" w:rsidRDefault="00AB6725" w:rsidP="00AB6725">
            <w:pPr>
              <w:jc w:val="right"/>
              <w:rPr>
                <w:rFonts w:cs="Arial"/>
                <w:color w:val="0070C0"/>
                <w:sz w:val="18"/>
                <w:szCs w:val="18"/>
              </w:rPr>
            </w:pPr>
            <w:r w:rsidRPr="00AB6725">
              <w:rPr>
                <w:rFonts w:cs="Arial"/>
                <w:color w:val="000000"/>
                <w:sz w:val="18"/>
                <w:szCs w:val="18"/>
              </w:rPr>
              <w:t>-12,855</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3007740B" w14:textId="77777777" w:rsidR="00AB6725" w:rsidRPr="00AB6725" w:rsidRDefault="00AB6725" w:rsidP="00AB6725">
            <w:pPr>
              <w:jc w:val="right"/>
              <w:rPr>
                <w:rFonts w:cs="Arial"/>
                <w:color w:val="0070C0"/>
                <w:sz w:val="18"/>
                <w:szCs w:val="18"/>
              </w:rPr>
            </w:pPr>
            <w:r w:rsidRPr="00AB6725">
              <w:rPr>
                <w:rFonts w:cs="Arial"/>
                <w:color w:val="000000"/>
                <w:sz w:val="18"/>
                <w:szCs w:val="18"/>
              </w:rPr>
              <w:t>-10,832</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8FB997F" w14:textId="77777777" w:rsidR="00AB6725" w:rsidRPr="00AB6725" w:rsidRDefault="00AB6725" w:rsidP="00AB6725">
            <w:pPr>
              <w:jc w:val="right"/>
              <w:rPr>
                <w:rFonts w:cs="Arial"/>
                <w:color w:val="0070C0"/>
                <w:sz w:val="18"/>
                <w:szCs w:val="18"/>
              </w:rPr>
            </w:pPr>
            <w:r w:rsidRPr="00AB6725">
              <w:rPr>
                <w:rFonts w:cs="Arial"/>
                <w:color w:val="000000"/>
                <w:sz w:val="18"/>
                <w:szCs w:val="18"/>
              </w:rPr>
              <w:t>-10,280</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573C6C43" w14:textId="77777777" w:rsidR="00AB6725" w:rsidRPr="00AB6725" w:rsidRDefault="00AB6725" w:rsidP="00AB6725">
            <w:pPr>
              <w:jc w:val="right"/>
              <w:rPr>
                <w:rFonts w:cs="Arial"/>
                <w:color w:val="0070C0"/>
                <w:sz w:val="18"/>
                <w:szCs w:val="18"/>
              </w:rPr>
            </w:pPr>
            <w:r w:rsidRPr="00AB6725">
              <w:rPr>
                <w:rFonts w:cs="Arial"/>
                <w:color w:val="000000"/>
                <w:sz w:val="18"/>
                <w:szCs w:val="18"/>
              </w:rPr>
              <w:t>-159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1218F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-34,125</w:t>
            </w:r>
          </w:p>
        </w:tc>
        <w:tc>
          <w:tcPr>
            <w:tcW w:w="1417" w:type="dxa"/>
            <w:tcBorders>
              <w:top w:val="nil"/>
              <w:left w:val="nil"/>
              <w:bottom w:val="single" w:sz="4" w:space="0" w:color="auto"/>
              <w:right w:val="single" w:sz="4" w:space="0" w:color="auto"/>
            </w:tcBorders>
            <w:shd w:val="clear" w:color="auto" w:fill="auto"/>
            <w:noWrap/>
            <w:vAlign w:val="center"/>
            <w:hideMark/>
          </w:tcPr>
          <w:p w14:paraId="055562CD" w14:textId="77777777" w:rsidR="00AB6725" w:rsidRPr="00AB6725" w:rsidRDefault="00AB6725" w:rsidP="00AB6725">
            <w:pPr>
              <w:jc w:val="right"/>
              <w:rPr>
                <w:rFonts w:cs="Arial"/>
                <w:color w:val="0070C0"/>
                <w:sz w:val="18"/>
                <w:szCs w:val="18"/>
              </w:rPr>
            </w:pPr>
            <w:r w:rsidRPr="00AB6725">
              <w:rPr>
                <w:rFonts w:cs="Arial"/>
                <w:color w:val="000000"/>
                <w:sz w:val="18"/>
                <w:szCs w:val="18"/>
              </w:rPr>
              <w:t>-8,278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7BC117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1,683</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4F7B908" w14:textId="77777777" w:rsidR="00AB6725" w:rsidRPr="00AB6725" w:rsidRDefault="00AB6725" w:rsidP="00AB6725">
            <w:pPr>
              <w:jc w:val="right"/>
              <w:rPr>
                <w:rFonts w:cs="Arial"/>
                <w:color w:val="0070C0"/>
                <w:sz w:val="18"/>
                <w:szCs w:val="18"/>
              </w:rPr>
            </w:pPr>
            <w:r w:rsidRPr="00AB6725">
              <w:rPr>
                <w:rFonts w:cs="Arial"/>
                <w:color w:val="000000"/>
                <w:sz w:val="18"/>
                <w:szCs w:val="18"/>
              </w:rPr>
              <w:t>17,251</w:t>
            </w:r>
          </w:p>
        </w:tc>
        <w:tc>
          <w:tcPr>
            <w:tcW w:w="1134" w:type="dxa"/>
            <w:tcBorders>
              <w:top w:val="nil"/>
              <w:left w:val="nil"/>
              <w:bottom w:val="single" w:sz="4" w:space="0" w:color="auto"/>
              <w:right w:val="single" w:sz="4" w:space="0" w:color="auto"/>
            </w:tcBorders>
            <w:shd w:val="clear" w:color="auto" w:fill="auto"/>
            <w:noWrap/>
            <w:vAlign w:val="center"/>
          </w:tcPr>
          <w:p w14:paraId="6E8252D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18,934</w:t>
            </w:r>
          </w:p>
        </w:tc>
      </w:tr>
      <w:tr w:rsidR="00AB6725" w:rsidRPr="00AB6725" w14:paraId="0A473011"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3DB7E0F" w14:textId="77777777" w:rsidR="00AB6725" w:rsidRPr="00AB6725" w:rsidRDefault="00AB6725" w:rsidP="00AB6725">
            <w:pPr>
              <w:jc w:val="right"/>
              <w:rPr>
                <w:rFonts w:cs="Arial"/>
                <w:color w:val="0070C0"/>
                <w:sz w:val="18"/>
                <w:szCs w:val="18"/>
              </w:rPr>
            </w:pPr>
            <w:r w:rsidRPr="00AB6725">
              <w:rPr>
                <w:rFonts w:cs="Arial"/>
                <w:sz w:val="18"/>
                <w:szCs w:val="18"/>
              </w:rPr>
              <w:t>2030.31</w:t>
            </w:r>
          </w:p>
        </w:tc>
        <w:tc>
          <w:tcPr>
            <w:tcW w:w="1059" w:type="dxa"/>
            <w:tcBorders>
              <w:top w:val="nil"/>
              <w:left w:val="nil"/>
              <w:bottom w:val="single" w:sz="4" w:space="0" w:color="auto"/>
              <w:right w:val="single" w:sz="4" w:space="0" w:color="auto"/>
            </w:tcBorders>
            <w:shd w:val="clear" w:color="auto" w:fill="auto"/>
            <w:noWrap/>
            <w:vAlign w:val="center"/>
            <w:hideMark/>
          </w:tcPr>
          <w:p w14:paraId="567FEA4D" w14:textId="77777777" w:rsidR="00AB6725" w:rsidRPr="00AB6725" w:rsidRDefault="00AB6725" w:rsidP="00AB6725">
            <w:pPr>
              <w:jc w:val="right"/>
              <w:rPr>
                <w:rFonts w:cs="Arial"/>
                <w:color w:val="0070C0"/>
                <w:sz w:val="18"/>
                <w:szCs w:val="18"/>
              </w:rPr>
            </w:pPr>
            <w:r w:rsidRPr="00AB6725">
              <w:rPr>
                <w:rFonts w:cs="Arial"/>
                <w:color w:val="000000"/>
                <w:sz w:val="18"/>
                <w:szCs w:val="18"/>
              </w:rPr>
              <w:t>41,749</w:t>
            </w:r>
          </w:p>
        </w:tc>
        <w:tc>
          <w:tcPr>
            <w:tcW w:w="992" w:type="dxa"/>
            <w:tcBorders>
              <w:top w:val="nil"/>
              <w:left w:val="nil"/>
              <w:bottom w:val="single" w:sz="4" w:space="0" w:color="auto"/>
              <w:right w:val="single" w:sz="4" w:space="0" w:color="auto"/>
            </w:tcBorders>
            <w:shd w:val="clear" w:color="auto" w:fill="auto"/>
            <w:noWrap/>
            <w:vAlign w:val="center"/>
            <w:hideMark/>
          </w:tcPr>
          <w:p w14:paraId="044C788C" w14:textId="77777777" w:rsidR="00AB6725" w:rsidRPr="00AB6725" w:rsidRDefault="00AB6725" w:rsidP="00AB6725">
            <w:pPr>
              <w:jc w:val="right"/>
              <w:rPr>
                <w:rFonts w:cs="Arial"/>
                <w:color w:val="0070C0"/>
                <w:sz w:val="18"/>
                <w:szCs w:val="18"/>
              </w:rPr>
            </w:pPr>
            <w:r w:rsidRPr="00AB6725">
              <w:rPr>
                <w:rFonts w:cs="Arial"/>
                <w:color w:val="000000"/>
                <w:sz w:val="18"/>
                <w:szCs w:val="18"/>
              </w:rPr>
              <w:t>3,846</w:t>
            </w:r>
          </w:p>
        </w:tc>
        <w:tc>
          <w:tcPr>
            <w:tcW w:w="992" w:type="dxa"/>
            <w:tcBorders>
              <w:top w:val="nil"/>
              <w:left w:val="nil"/>
              <w:bottom w:val="single" w:sz="4" w:space="0" w:color="auto"/>
              <w:right w:val="single" w:sz="4" w:space="0" w:color="auto"/>
            </w:tcBorders>
            <w:shd w:val="clear" w:color="auto" w:fill="auto"/>
            <w:noWrap/>
            <w:vAlign w:val="center"/>
            <w:hideMark/>
          </w:tcPr>
          <w:p w14:paraId="04B94DE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45,595</w:t>
            </w:r>
          </w:p>
        </w:tc>
        <w:tc>
          <w:tcPr>
            <w:tcW w:w="1103" w:type="dxa"/>
            <w:tcBorders>
              <w:top w:val="nil"/>
              <w:left w:val="nil"/>
              <w:bottom w:val="single" w:sz="4" w:space="0" w:color="auto"/>
              <w:right w:val="single" w:sz="4" w:space="0" w:color="auto"/>
            </w:tcBorders>
            <w:shd w:val="clear" w:color="auto" w:fill="auto"/>
            <w:noWrap/>
            <w:vAlign w:val="center"/>
            <w:hideMark/>
          </w:tcPr>
          <w:p w14:paraId="53EE75DA" w14:textId="77777777" w:rsidR="00AB6725" w:rsidRPr="00AB6725" w:rsidRDefault="00AB6725" w:rsidP="00AB6725">
            <w:pPr>
              <w:jc w:val="right"/>
              <w:rPr>
                <w:rFonts w:cs="Arial"/>
                <w:color w:val="0070C0"/>
                <w:sz w:val="18"/>
                <w:szCs w:val="18"/>
              </w:rPr>
            </w:pPr>
            <w:r w:rsidRPr="00AB6725">
              <w:rPr>
                <w:rFonts w:cs="Arial"/>
                <w:color w:val="000000"/>
                <w:sz w:val="18"/>
                <w:szCs w:val="18"/>
              </w:rPr>
              <w:t>-13,112</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7E2C0B5A" w14:textId="77777777" w:rsidR="00AB6725" w:rsidRPr="00AB6725" w:rsidRDefault="00AB6725" w:rsidP="00AB6725">
            <w:pPr>
              <w:jc w:val="right"/>
              <w:rPr>
                <w:rFonts w:cs="Arial"/>
                <w:color w:val="0070C0"/>
                <w:sz w:val="18"/>
                <w:szCs w:val="18"/>
              </w:rPr>
            </w:pPr>
            <w:r w:rsidRPr="00AB6725">
              <w:rPr>
                <w:rFonts w:cs="Arial"/>
                <w:color w:val="000000"/>
                <w:sz w:val="18"/>
                <w:szCs w:val="18"/>
              </w:rPr>
              <w:t>-11,104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ABC6FC2" w14:textId="77777777" w:rsidR="00AB6725" w:rsidRPr="00AB6725" w:rsidRDefault="00AB6725" w:rsidP="00AB6725">
            <w:pPr>
              <w:jc w:val="right"/>
              <w:rPr>
                <w:rFonts w:cs="Arial"/>
                <w:color w:val="0070C0"/>
                <w:sz w:val="18"/>
                <w:szCs w:val="18"/>
              </w:rPr>
            </w:pPr>
            <w:r w:rsidRPr="00AB6725">
              <w:rPr>
                <w:rFonts w:cs="Arial"/>
                <w:color w:val="000000"/>
                <w:sz w:val="18"/>
                <w:szCs w:val="18"/>
              </w:rPr>
              <w:t>-10,563</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2A184D41" w14:textId="77777777" w:rsidR="00AB6725" w:rsidRPr="00AB6725" w:rsidRDefault="00AB6725" w:rsidP="00AB6725">
            <w:pPr>
              <w:jc w:val="right"/>
              <w:rPr>
                <w:rFonts w:cs="Arial"/>
                <w:color w:val="0070C0"/>
                <w:sz w:val="18"/>
                <w:szCs w:val="18"/>
              </w:rPr>
            </w:pPr>
            <w:r w:rsidRPr="00AB6725">
              <w:rPr>
                <w:rFonts w:cs="Arial"/>
                <w:color w:val="000000"/>
                <w:sz w:val="18"/>
                <w:szCs w:val="18"/>
              </w:rPr>
              <w:t>-162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58801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-34,941</w:t>
            </w:r>
          </w:p>
        </w:tc>
        <w:tc>
          <w:tcPr>
            <w:tcW w:w="1417" w:type="dxa"/>
            <w:tcBorders>
              <w:top w:val="nil"/>
              <w:left w:val="nil"/>
              <w:bottom w:val="single" w:sz="4" w:space="0" w:color="auto"/>
              <w:right w:val="single" w:sz="4" w:space="0" w:color="auto"/>
            </w:tcBorders>
            <w:shd w:val="clear" w:color="auto" w:fill="auto"/>
            <w:noWrap/>
            <w:vAlign w:val="center"/>
            <w:hideMark/>
          </w:tcPr>
          <w:p w14:paraId="3B37E002" w14:textId="77777777" w:rsidR="00AB6725" w:rsidRPr="00AB6725" w:rsidRDefault="00AB6725" w:rsidP="00AB6725">
            <w:pPr>
              <w:jc w:val="right"/>
              <w:rPr>
                <w:rFonts w:cs="Arial"/>
                <w:color w:val="0070C0"/>
                <w:sz w:val="18"/>
                <w:szCs w:val="18"/>
              </w:rPr>
            </w:pPr>
            <w:r w:rsidRPr="00AB6725">
              <w:rPr>
                <w:rFonts w:cs="Arial"/>
                <w:color w:val="000000"/>
                <w:sz w:val="18"/>
                <w:szCs w:val="18"/>
              </w:rPr>
              <w:t>-8,267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996FC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2,386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E626D21" w14:textId="77777777" w:rsidR="00AB6725" w:rsidRPr="00AB6725" w:rsidRDefault="00AB6725" w:rsidP="00AB6725">
            <w:pPr>
              <w:jc w:val="right"/>
              <w:rPr>
                <w:rFonts w:cs="Arial"/>
                <w:color w:val="0070C0"/>
                <w:sz w:val="18"/>
                <w:szCs w:val="18"/>
              </w:rPr>
            </w:pPr>
            <w:r w:rsidRPr="00AB6725">
              <w:rPr>
                <w:rFonts w:cs="Arial"/>
                <w:color w:val="000000"/>
                <w:sz w:val="18"/>
                <w:szCs w:val="18"/>
              </w:rPr>
              <w:t>18,934</w:t>
            </w:r>
          </w:p>
        </w:tc>
        <w:tc>
          <w:tcPr>
            <w:tcW w:w="1134" w:type="dxa"/>
            <w:tcBorders>
              <w:top w:val="nil"/>
              <w:left w:val="nil"/>
              <w:bottom w:val="single" w:sz="4" w:space="0" w:color="auto"/>
              <w:right w:val="single" w:sz="4" w:space="0" w:color="auto"/>
            </w:tcBorders>
            <w:shd w:val="clear" w:color="auto" w:fill="auto"/>
            <w:noWrap/>
            <w:vAlign w:val="center"/>
          </w:tcPr>
          <w:p w14:paraId="61014F2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21,321</w:t>
            </w:r>
          </w:p>
        </w:tc>
      </w:tr>
      <w:tr w:rsidR="00AB6725" w:rsidRPr="00AB6725" w14:paraId="2D8802A7"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80BB0EC" w14:textId="77777777" w:rsidR="00AB6725" w:rsidRPr="00AB6725" w:rsidRDefault="00AB6725" w:rsidP="00AB6725">
            <w:pPr>
              <w:jc w:val="right"/>
              <w:rPr>
                <w:rFonts w:cs="Arial"/>
                <w:color w:val="0070C0"/>
                <w:sz w:val="18"/>
                <w:szCs w:val="18"/>
              </w:rPr>
            </w:pPr>
            <w:r w:rsidRPr="00AB6725">
              <w:rPr>
                <w:rFonts w:cs="Arial"/>
                <w:sz w:val="18"/>
                <w:szCs w:val="18"/>
              </w:rPr>
              <w:t>2031.32</w:t>
            </w:r>
          </w:p>
        </w:tc>
        <w:tc>
          <w:tcPr>
            <w:tcW w:w="1059" w:type="dxa"/>
            <w:tcBorders>
              <w:top w:val="nil"/>
              <w:left w:val="nil"/>
              <w:bottom w:val="single" w:sz="4" w:space="0" w:color="auto"/>
              <w:right w:val="single" w:sz="4" w:space="0" w:color="auto"/>
            </w:tcBorders>
            <w:shd w:val="clear" w:color="auto" w:fill="auto"/>
            <w:noWrap/>
            <w:vAlign w:val="center"/>
            <w:hideMark/>
          </w:tcPr>
          <w:p w14:paraId="238F4925" w14:textId="77777777" w:rsidR="00AB6725" w:rsidRPr="00AB6725" w:rsidRDefault="00AB6725" w:rsidP="00AB6725">
            <w:pPr>
              <w:jc w:val="right"/>
              <w:rPr>
                <w:rFonts w:cs="Arial"/>
                <w:color w:val="0070C0"/>
                <w:sz w:val="18"/>
                <w:szCs w:val="18"/>
              </w:rPr>
            </w:pPr>
            <w:r w:rsidRPr="00AB6725">
              <w:rPr>
                <w:rFonts w:cs="Arial"/>
                <w:color w:val="000000"/>
                <w:sz w:val="18"/>
                <w:szCs w:val="18"/>
              </w:rPr>
              <w:t>41,628</w:t>
            </w:r>
          </w:p>
        </w:tc>
        <w:tc>
          <w:tcPr>
            <w:tcW w:w="992" w:type="dxa"/>
            <w:tcBorders>
              <w:top w:val="nil"/>
              <w:left w:val="nil"/>
              <w:bottom w:val="single" w:sz="4" w:space="0" w:color="auto"/>
              <w:right w:val="single" w:sz="4" w:space="0" w:color="auto"/>
            </w:tcBorders>
            <w:shd w:val="clear" w:color="auto" w:fill="auto"/>
            <w:noWrap/>
            <w:vAlign w:val="center"/>
            <w:hideMark/>
          </w:tcPr>
          <w:p w14:paraId="4AF5CA23" w14:textId="77777777" w:rsidR="00AB6725" w:rsidRPr="00AB6725" w:rsidRDefault="00AB6725" w:rsidP="00AB6725">
            <w:pPr>
              <w:jc w:val="right"/>
              <w:rPr>
                <w:rFonts w:cs="Arial"/>
                <w:color w:val="0070C0"/>
                <w:sz w:val="18"/>
                <w:szCs w:val="18"/>
              </w:rPr>
            </w:pPr>
            <w:r w:rsidRPr="00AB6725">
              <w:rPr>
                <w:rFonts w:cs="Arial"/>
                <w:color w:val="000000"/>
                <w:sz w:val="18"/>
                <w:szCs w:val="18"/>
              </w:rPr>
              <w:t>3,911</w:t>
            </w:r>
          </w:p>
        </w:tc>
        <w:tc>
          <w:tcPr>
            <w:tcW w:w="992" w:type="dxa"/>
            <w:tcBorders>
              <w:top w:val="nil"/>
              <w:left w:val="nil"/>
              <w:bottom w:val="single" w:sz="4" w:space="0" w:color="auto"/>
              <w:right w:val="single" w:sz="4" w:space="0" w:color="auto"/>
            </w:tcBorders>
            <w:shd w:val="clear" w:color="auto" w:fill="auto"/>
            <w:noWrap/>
            <w:vAlign w:val="center"/>
            <w:hideMark/>
          </w:tcPr>
          <w:p w14:paraId="5258754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45,539</w:t>
            </w:r>
          </w:p>
        </w:tc>
        <w:tc>
          <w:tcPr>
            <w:tcW w:w="1103" w:type="dxa"/>
            <w:tcBorders>
              <w:top w:val="nil"/>
              <w:left w:val="nil"/>
              <w:bottom w:val="single" w:sz="4" w:space="0" w:color="auto"/>
              <w:right w:val="single" w:sz="4" w:space="0" w:color="auto"/>
            </w:tcBorders>
            <w:shd w:val="clear" w:color="auto" w:fill="auto"/>
            <w:noWrap/>
            <w:vAlign w:val="center"/>
            <w:hideMark/>
          </w:tcPr>
          <w:p w14:paraId="26993450" w14:textId="77777777" w:rsidR="00AB6725" w:rsidRPr="00AB6725" w:rsidRDefault="00AB6725" w:rsidP="00AB6725">
            <w:pPr>
              <w:jc w:val="right"/>
              <w:rPr>
                <w:rFonts w:cs="Arial"/>
                <w:color w:val="0070C0"/>
                <w:sz w:val="18"/>
                <w:szCs w:val="18"/>
              </w:rPr>
            </w:pPr>
            <w:r w:rsidRPr="00AB6725">
              <w:rPr>
                <w:rFonts w:cs="Arial"/>
                <w:color w:val="000000"/>
                <w:sz w:val="18"/>
                <w:szCs w:val="18"/>
              </w:rPr>
              <w:t>-13,374</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5E78A805" w14:textId="77777777" w:rsidR="00AB6725" w:rsidRPr="00AB6725" w:rsidRDefault="00AB6725" w:rsidP="00AB6725">
            <w:pPr>
              <w:jc w:val="right"/>
              <w:rPr>
                <w:rFonts w:cs="Arial"/>
                <w:color w:val="0070C0"/>
                <w:sz w:val="18"/>
                <w:szCs w:val="18"/>
              </w:rPr>
            </w:pPr>
            <w:r w:rsidRPr="00AB6725">
              <w:rPr>
                <w:rFonts w:cs="Arial"/>
                <w:color w:val="000000"/>
                <w:sz w:val="18"/>
                <w:szCs w:val="18"/>
              </w:rPr>
              <w:t>-11,384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5D2A22E" w14:textId="77777777" w:rsidR="00AB6725" w:rsidRPr="00AB6725" w:rsidRDefault="00AB6725" w:rsidP="00AB6725">
            <w:pPr>
              <w:jc w:val="right"/>
              <w:rPr>
                <w:rFonts w:cs="Arial"/>
                <w:color w:val="0070C0"/>
                <w:sz w:val="18"/>
                <w:szCs w:val="18"/>
              </w:rPr>
            </w:pPr>
            <w:r w:rsidRPr="00AB6725">
              <w:rPr>
                <w:rFonts w:cs="Arial"/>
                <w:color w:val="000000"/>
                <w:sz w:val="18"/>
                <w:szCs w:val="18"/>
              </w:rPr>
              <w:t>-10,854</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0CA49ACD" w14:textId="77777777" w:rsidR="00AB6725" w:rsidRPr="00AB6725" w:rsidRDefault="00AB6725" w:rsidP="00AB6725">
            <w:pPr>
              <w:jc w:val="right"/>
              <w:rPr>
                <w:rFonts w:cs="Arial"/>
                <w:color w:val="0070C0"/>
                <w:sz w:val="18"/>
                <w:szCs w:val="18"/>
              </w:rPr>
            </w:pPr>
            <w:r w:rsidRPr="00AB6725">
              <w:rPr>
                <w:rFonts w:cs="Arial"/>
                <w:color w:val="000000"/>
                <w:sz w:val="18"/>
                <w:szCs w:val="18"/>
              </w:rPr>
              <w:t>-166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D3670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-35,777</w:t>
            </w:r>
          </w:p>
        </w:tc>
        <w:tc>
          <w:tcPr>
            <w:tcW w:w="1417" w:type="dxa"/>
            <w:tcBorders>
              <w:top w:val="nil"/>
              <w:left w:val="nil"/>
              <w:bottom w:val="single" w:sz="4" w:space="0" w:color="auto"/>
              <w:right w:val="single" w:sz="4" w:space="0" w:color="auto"/>
            </w:tcBorders>
            <w:shd w:val="clear" w:color="auto" w:fill="auto"/>
            <w:noWrap/>
            <w:vAlign w:val="center"/>
            <w:hideMark/>
          </w:tcPr>
          <w:p w14:paraId="4623D54D" w14:textId="77777777" w:rsidR="00AB6725" w:rsidRPr="00AB6725" w:rsidRDefault="00AB6725" w:rsidP="00AB6725">
            <w:pPr>
              <w:jc w:val="right"/>
              <w:rPr>
                <w:rFonts w:cs="Arial"/>
                <w:color w:val="0070C0"/>
                <w:sz w:val="18"/>
                <w:szCs w:val="18"/>
              </w:rPr>
            </w:pPr>
            <w:r w:rsidRPr="00AB6725">
              <w:rPr>
                <w:rFonts w:cs="Arial"/>
                <w:color w:val="000000"/>
                <w:sz w:val="18"/>
                <w:szCs w:val="18"/>
              </w:rPr>
              <w:t>-8,257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BAC46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1,505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30ED1E3" w14:textId="77777777" w:rsidR="00AB6725" w:rsidRPr="00AB6725" w:rsidRDefault="00AB6725" w:rsidP="00AB6725">
            <w:pPr>
              <w:jc w:val="right"/>
              <w:rPr>
                <w:rFonts w:cs="Arial"/>
                <w:color w:val="0070C0"/>
                <w:sz w:val="18"/>
                <w:szCs w:val="18"/>
              </w:rPr>
            </w:pPr>
            <w:r w:rsidRPr="00AB6725">
              <w:rPr>
                <w:rFonts w:cs="Arial"/>
                <w:color w:val="000000"/>
                <w:sz w:val="18"/>
                <w:szCs w:val="18"/>
              </w:rPr>
              <w:t>21,321</w:t>
            </w:r>
          </w:p>
        </w:tc>
        <w:tc>
          <w:tcPr>
            <w:tcW w:w="1134" w:type="dxa"/>
            <w:tcBorders>
              <w:top w:val="nil"/>
              <w:left w:val="nil"/>
              <w:bottom w:val="single" w:sz="4" w:space="0" w:color="auto"/>
              <w:right w:val="single" w:sz="4" w:space="0" w:color="auto"/>
            </w:tcBorders>
            <w:shd w:val="clear" w:color="auto" w:fill="auto"/>
            <w:noWrap/>
            <w:vAlign w:val="center"/>
          </w:tcPr>
          <w:p w14:paraId="6A9692B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22,825</w:t>
            </w:r>
          </w:p>
        </w:tc>
      </w:tr>
      <w:tr w:rsidR="00AB6725" w:rsidRPr="00AB6725" w14:paraId="2640CC9A"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5DA8EAB" w14:textId="77777777" w:rsidR="00AB6725" w:rsidRPr="00AB6725" w:rsidRDefault="00AB6725" w:rsidP="00AB6725">
            <w:pPr>
              <w:jc w:val="right"/>
              <w:rPr>
                <w:rFonts w:cs="Arial"/>
                <w:color w:val="0070C0"/>
                <w:sz w:val="18"/>
                <w:szCs w:val="18"/>
              </w:rPr>
            </w:pPr>
            <w:r w:rsidRPr="00AB6725">
              <w:rPr>
                <w:rFonts w:cs="Arial"/>
                <w:sz w:val="18"/>
                <w:szCs w:val="18"/>
              </w:rPr>
              <w:t>2032.33</w:t>
            </w:r>
          </w:p>
        </w:tc>
        <w:tc>
          <w:tcPr>
            <w:tcW w:w="1059" w:type="dxa"/>
            <w:tcBorders>
              <w:top w:val="nil"/>
              <w:left w:val="nil"/>
              <w:bottom w:val="single" w:sz="4" w:space="0" w:color="auto"/>
              <w:right w:val="single" w:sz="4" w:space="0" w:color="auto"/>
            </w:tcBorders>
            <w:shd w:val="clear" w:color="auto" w:fill="auto"/>
            <w:noWrap/>
            <w:vAlign w:val="center"/>
            <w:hideMark/>
          </w:tcPr>
          <w:p w14:paraId="3CA01355" w14:textId="77777777" w:rsidR="00AB6725" w:rsidRPr="00AB6725" w:rsidRDefault="00AB6725" w:rsidP="00AB6725">
            <w:pPr>
              <w:jc w:val="right"/>
              <w:rPr>
                <w:rFonts w:cs="Arial"/>
                <w:color w:val="0070C0"/>
                <w:sz w:val="18"/>
                <w:szCs w:val="18"/>
              </w:rPr>
            </w:pPr>
            <w:r w:rsidRPr="00AB6725">
              <w:rPr>
                <w:rFonts w:cs="Arial"/>
                <w:color w:val="000000"/>
                <w:sz w:val="18"/>
                <w:szCs w:val="18"/>
              </w:rPr>
              <w:t>42,305</w:t>
            </w:r>
          </w:p>
        </w:tc>
        <w:tc>
          <w:tcPr>
            <w:tcW w:w="992" w:type="dxa"/>
            <w:tcBorders>
              <w:top w:val="nil"/>
              <w:left w:val="nil"/>
              <w:bottom w:val="single" w:sz="4" w:space="0" w:color="auto"/>
              <w:right w:val="single" w:sz="4" w:space="0" w:color="auto"/>
            </w:tcBorders>
            <w:shd w:val="clear" w:color="auto" w:fill="auto"/>
            <w:noWrap/>
            <w:vAlign w:val="center"/>
            <w:hideMark/>
          </w:tcPr>
          <w:p w14:paraId="64127C38" w14:textId="77777777" w:rsidR="00AB6725" w:rsidRPr="00AB6725" w:rsidRDefault="00AB6725" w:rsidP="00AB6725">
            <w:pPr>
              <w:jc w:val="right"/>
              <w:rPr>
                <w:rFonts w:cs="Arial"/>
                <w:color w:val="0070C0"/>
                <w:sz w:val="18"/>
                <w:szCs w:val="18"/>
              </w:rPr>
            </w:pPr>
            <w:r w:rsidRPr="00AB6725">
              <w:rPr>
                <w:rFonts w:cs="Arial"/>
                <w:color w:val="000000"/>
                <w:sz w:val="18"/>
                <w:szCs w:val="18"/>
              </w:rPr>
              <w:t>3,979</w:t>
            </w:r>
          </w:p>
        </w:tc>
        <w:tc>
          <w:tcPr>
            <w:tcW w:w="992" w:type="dxa"/>
            <w:tcBorders>
              <w:top w:val="nil"/>
              <w:left w:val="nil"/>
              <w:bottom w:val="single" w:sz="4" w:space="0" w:color="auto"/>
              <w:right w:val="single" w:sz="4" w:space="0" w:color="auto"/>
            </w:tcBorders>
            <w:shd w:val="clear" w:color="auto" w:fill="auto"/>
            <w:noWrap/>
            <w:vAlign w:val="center"/>
            <w:hideMark/>
          </w:tcPr>
          <w:p w14:paraId="3434501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46,284</w:t>
            </w:r>
          </w:p>
        </w:tc>
        <w:tc>
          <w:tcPr>
            <w:tcW w:w="1103" w:type="dxa"/>
            <w:tcBorders>
              <w:top w:val="nil"/>
              <w:left w:val="nil"/>
              <w:bottom w:val="single" w:sz="4" w:space="0" w:color="auto"/>
              <w:right w:val="single" w:sz="4" w:space="0" w:color="auto"/>
            </w:tcBorders>
            <w:shd w:val="clear" w:color="auto" w:fill="auto"/>
            <w:noWrap/>
            <w:vAlign w:val="center"/>
            <w:hideMark/>
          </w:tcPr>
          <w:p w14:paraId="55F1D487" w14:textId="77777777" w:rsidR="00AB6725" w:rsidRPr="00AB6725" w:rsidRDefault="00AB6725" w:rsidP="00AB6725">
            <w:pPr>
              <w:jc w:val="right"/>
              <w:rPr>
                <w:rFonts w:cs="Arial"/>
                <w:color w:val="0070C0"/>
                <w:sz w:val="18"/>
                <w:szCs w:val="18"/>
              </w:rPr>
            </w:pPr>
            <w:r w:rsidRPr="00AB6725">
              <w:rPr>
                <w:rFonts w:cs="Arial"/>
                <w:color w:val="000000"/>
                <w:sz w:val="18"/>
                <w:szCs w:val="18"/>
              </w:rPr>
              <w:t>-13,642</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39732C24" w14:textId="77777777" w:rsidR="00AB6725" w:rsidRPr="00AB6725" w:rsidRDefault="00AB6725" w:rsidP="00AB6725">
            <w:pPr>
              <w:jc w:val="right"/>
              <w:rPr>
                <w:rFonts w:cs="Arial"/>
                <w:color w:val="0070C0"/>
                <w:sz w:val="18"/>
                <w:szCs w:val="18"/>
              </w:rPr>
            </w:pPr>
            <w:r w:rsidRPr="00AB6725">
              <w:rPr>
                <w:rFonts w:cs="Arial"/>
                <w:color w:val="000000"/>
                <w:sz w:val="18"/>
                <w:szCs w:val="18"/>
              </w:rPr>
              <w:t>-11,670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271268A" w14:textId="77777777" w:rsidR="00AB6725" w:rsidRPr="00AB6725" w:rsidRDefault="00AB6725" w:rsidP="00AB6725">
            <w:pPr>
              <w:jc w:val="right"/>
              <w:rPr>
                <w:rFonts w:cs="Arial"/>
                <w:color w:val="0070C0"/>
                <w:sz w:val="18"/>
                <w:szCs w:val="18"/>
              </w:rPr>
            </w:pPr>
            <w:r w:rsidRPr="00AB6725">
              <w:rPr>
                <w:rFonts w:cs="Arial"/>
                <w:color w:val="000000"/>
                <w:sz w:val="18"/>
                <w:szCs w:val="18"/>
              </w:rPr>
              <w:t>-11,153</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19E03E39" w14:textId="77777777" w:rsidR="00AB6725" w:rsidRPr="00AB6725" w:rsidRDefault="00AB6725" w:rsidP="00AB6725">
            <w:pPr>
              <w:jc w:val="right"/>
              <w:rPr>
                <w:rFonts w:cs="Arial"/>
                <w:color w:val="0070C0"/>
                <w:sz w:val="18"/>
                <w:szCs w:val="18"/>
              </w:rPr>
            </w:pPr>
            <w:r w:rsidRPr="00AB6725">
              <w:rPr>
                <w:rFonts w:cs="Arial"/>
                <w:color w:val="000000"/>
                <w:sz w:val="18"/>
                <w:szCs w:val="18"/>
              </w:rPr>
              <w:t>-169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BFCC2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-36,634</w:t>
            </w:r>
          </w:p>
        </w:tc>
        <w:tc>
          <w:tcPr>
            <w:tcW w:w="1417" w:type="dxa"/>
            <w:tcBorders>
              <w:top w:val="nil"/>
              <w:left w:val="nil"/>
              <w:bottom w:val="single" w:sz="4" w:space="0" w:color="auto"/>
              <w:right w:val="single" w:sz="4" w:space="0" w:color="auto"/>
            </w:tcBorders>
            <w:shd w:val="clear" w:color="auto" w:fill="auto"/>
            <w:noWrap/>
            <w:vAlign w:val="center"/>
            <w:hideMark/>
          </w:tcPr>
          <w:p w14:paraId="3B06C30A" w14:textId="77777777" w:rsidR="00AB6725" w:rsidRPr="00AB6725" w:rsidRDefault="00AB6725" w:rsidP="00AB6725">
            <w:pPr>
              <w:jc w:val="right"/>
              <w:rPr>
                <w:rFonts w:cs="Arial"/>
                <w:color w:val="0070C0"/>
                <w:sz w:val="18"/>
                <w:szCs w:val="18"/>
              </w:rPr>
            </w:pPr>
            <w:r w:rsidRPr="00AB6725">
              <w:rPr>
                <w:rFonts w:cs="Arial"/>
                <w:color w:val="000000"/>
                <w:sz w:val="18"/>
                <w:szCs w:val="18"/>
              </w:rPr>
              <w:t>-8,248</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D75213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1,402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186FE02" w14:textId="77777777" w:rsidR="00AB6725" w:rsidRPr="00AB6725" w:rsidRDefault="00AB6725" w:rsidP="00AB6725">
            <w:pPr>
              <w:jc w:val="right"/>
              <w:rPr>
                <w:rFonts w:cs="Arial"/>
                <w:color w:val="0070C0"/>
                <w:sz w:val="18"/>
                <w:szCs w:val="18"/>
              </w:rPr>
            </w:pPr>
            <w:r w:rsidRPr="00AB6725">
              <w:rPr>
                <w:rFonts w:cs="Arial"/>
                <w:color w:val="000000"/>
                <w:sz w:val="18"/>
                <w:szCs w:val="18"/>
              </w:rPr>
              <w:t>22,825</w:t>
            </w:r>
          </w:p>
        </w:tc>
        <w:tc>
          <w:tcPr>
            <w:tcW w:w="1134" w:type="dxa"/>
            <w:tcBorders>
              <w:top w:val="nil"/>
              <w:left w:val="nil"/>
              <w:bottom w:val="single" w:sz="4" w:space="0" w:color="auto"/>
              <w:right w:val="single" w:sz="4" w:space="0" w:color="auto"/>
            </w:tcBorders>
            <w:shd w:val="clear" w:color="auto" w:fill="auto"/>
            <w:noWrap/>
            <w:vAlign w:val="center"/>
          </w:tcPr>
          <w:p w14:paraId="12CB8F2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24,227</w:t>
            </w:r>
          </w:p>
        </w:tc>
      </w:tr>
      <w:tr w:rsidR="00AB6725" w:rsidRPr="00AB6725" w14:paraId="6D2D6888"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EF5F136" w14:textId="77777777" w:rsidR="00AB6725" w:rsidRPr="00AB6725" w:rsidRDefault="00AB6725" w:rsidP="00AB6725">
            <w:pPr>
              <w:jc w:val="right"/>
              <w:rPr>
                <w:rFonts w:cs="Arial"/>
                <w:color w:val="0070C0"/>
                <w:sz w:val="18"/>
                <w:szCs w:val="18"/>
              </w:rPr>
            </w:pPr>
            <w:r w:rsidRPr="00AB6725">
              <w:rPr>
                <w:rFonts w:cs="Arial"/>
                <w:sz w:val="18"/>
                <w:szCs w:val="18"/>
              </w:rPr>
              <w:t>2033.34</w:t>
            </w:r>
          </w:p>
        </w:tc>
        <w:tc>
          <w:tcPr>
            <w:tcW w:w="1059" w:type="dxa"/>
            <w:tcBorders>
              <w:top w:val="nil"/>
              <w:left w:val="nil"/>
              <w:bottom w:val="single" w:sz="4" w:space="0" w:color="auto"/>
              <w:right w:val="single" w:sz="4" w:space="0" w:color="auto"/>
            </w:tcBorders>
            <w:shd w:val="clear" w:color="auto" w:fill="auto"/>
            <w:noWrap/>
            <w:vAlign w:val="center"/>
            <w:hideMark/>
          </w:tcPr>
          <w:p w14:paraId="5C33601C" w14:textId="77777777" w:rsidR="00AB6725" w:rsidRPr="00AB6725" w:rsidRDefault="00AB6725" w:rsidP="00AB6725">
            <w:pPr>
              <w:jc w:val="right"/>
              <w:rPr>
                <w:rFonts w:cs="Arial"/>
                <w:color w:val="0070C0"/>
                <w:sz w:val="18"/>
                <w:szCs w:val="18"/>
              </w:rPr>
            </w:pPr>
            <w:r w:rsidRPr="00AB6725">
              <w:rPr>
                <w:rFonts w:cs="Arial"/>
                <w:color w:val="000000"/>
                <w:sz w:val="18"/>
                <w:szCs w:val="18"/>
              </w:rPr>
              <w:t>42,992</w:t>
            </w:r>
          </w:p>
        </w:tc>
        <w:tc>
          <w:tcPr>
            <w:tcW w:w="992" w:type="dxa"/>
            <w:tcBorders>
              <w:top w:val="nil"/>
              <w:left w:val="nil"/>
              <w:bottom w:val="single" w:sz="4" w:space="0" w:color="auto"/>
              <w:right w:val="single" w:sz="4" w:space="0" w:color="auto"/>
            </w:tcBorders>
            <w:shd w:val="clear" w:color="auto" w:fill="auto"/>
            <w:noWrap/>
            <w:vAlign w:val="center"/>
            <w:hideMark/>
          </w:tcPr>
          <w:p w14:paraId="39FAF48E" w14:textId="77777777" w:rsidR="00AB6725" w:rsidRPr="00AB6725" w:rsidRDefault="00AB6725" w:rsidP="00AB6725">
            <w:pPr>
              <w:jc w:val="right"/>
              <w:rPr>
                <w:rFonts w:cs="Arial"/>
                <w:color w:val="0070C0"/>
                <w:sz w:val="18"/>
                <w:szCs w:val="18"/>
              </w:rPr>
            </w:pPr>
            <w:r w:rsidRPr="00AB6725">
              <w:rPr>
                <w:rFonts w:cs="Arial"/>
                <w:color w:val="000000"/>
                <w:sz w:val="18"/>
                <w:szCs w:val="18"/>
              </w:rPr>
              <w:t>4,048</w:t>
            </w:r>
          </w:p>
        </w:tc>
        <w:tc>
          <w:tcPr>
            <w:tcW w:w="992" w:type="dxa"/>
            <w:tcBorders>
              <w:top w:val="nil"/>
              <w:left w:val="nil"/>
              <w:bottom w:val="single" w:sz="4" w:space="0" w:color="auto"/>
              <w:right w:val="single" w:sz="4" w:space="0" w:color="auto"/>
            </w:tcBorders>
            <w:shd w:val="clear" w:color="auto" w:fill="auto"/>
            <w:noWrap/>
            <w:vAlign w:val="center"/>
            <w:hideMark/>
          </w:tcPr>
          <w:p w14:paraId="6B84B20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47,040</w:t>
            </w:r>
          </w:p>
        </w:tc>
        <w:tc>
          <w:tcPr>
            <w:tcW w:w="1103" w:type="dxa"/>
            <w:tcBorders>
              <w:top w:val="nil"/>
              <w:left w:val="nil"/>
              <w:bottom w:val="single" w:sz="4" w:space="0" w:color="auto"/>
              <w:right w:val="single" w:sz="4" w:space="0" w:color="auto"/>
            </w:tcBorders>
            <w:shd w:val="clear" w:color="auto" w:fill="auto"/>
            <w:noWrap/>
            <w:vAlign w:val="center"/>
            <w:hideMark/>
          </w:tcPr>
          <w:p w14:paraId="5CAE39C3" w14:textId="77777777" w:rsidR="00AB6725" w:rsidRPr="00AB6725" w:rsidRDefault="00AB6725" w:rsidP="00AB6725">
            <w:pPr>
              <w:jc w:val="right"/>
              <w:rPr>
                <w:rFonts w:cs="Arial"/>
                <w:color w:val="0070C0"/>
                <w:sz w:val="18"/>
                <w:szCs w:val="18"/>
              </w:rPr>
            </w:pPr>
            <w:r w:rsidRPr="00AB6725">
              <w:rPr>
                <w:rFonts w:cs="Arial"/>
                <w:color w:val="000000"/>
                <w:sz w:val="18"/>
                <w:szCs w:val="18"/>
              </w:rPr>
              <w:t>-13,914</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22EAE6DA" w14:textId="77777777" w:rsidR="00AB6725" w:rsidRPr="00AB6725" w:rsidRDefault="00AB6725" w:rsidP="00AB6725">
            <w:pPr>
              <w:jc w:val="right"/>
              <w:rPr>
                <w:rFonts w:cs="Arial"/>
                <w:color w:val="0070C0"/>
                <w:sz w:val="18"/>
                <w:szCs w:val="18"/>
              </w:rPr>
            </w:pPr>
            <w:r w:rsidRPr="00AB6725">
              <w:rPr>
                <w:rFonts w:cs="Arial"/>
                <w:color w:val="000000"/>
                <w:sz w:val="18"/>
                <w:szCs w:val="18"/>
              </w:rPr>
              <w:t>-11,963</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8A6FA16" w14:textId="77777777" w:rsidR="00AB6725" w:rsidRPr="00AB6725" w:rsidRDefault="00AB6725" w:rsidP="00AB6725">
            <w:pPr>
              <w:jc w:val="right"/>
              <w:rPr>
                <w:rFonts w:cs="Arial"/>
                <w:color w:val="0070C0"/>
                <w:sz w:val="18"/>
                <w:szCs w:val="18"/>
              </w:rPr>
            </w:pPr>
            <w:r w:rsidRPr="00AB6725">
              <w:rPr>
                <w:rFonts w:cs="Arial"/>
                <w:color w:val="000000"/>
                <w:sz w:val="18"/>
                <w:szCs w:val="18"/>
              </w:rPr>
              <w:t>-11,461</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28D4DD02" w14:textId="77777777" w:rsidR="00AB6725" w:rsidRPr="00AB6725" w:rsidRDefault="00AB6725" w:rsidP="00AB6725">
            <w:pPr>
              <w:jc w:val="right"/>
              <w:rPr>
                <w:rFonts w:cs="Arial"/>
                <w:color w:val="0070C0"/>
                <w:sz w:val="18"/>
                <w:szCs w:val="18"/>
              </w:rPr>
            </w:pPr>
            <w:r w:rsidRPr="00AB6725">
              <w:rPr>
                <w:rFonts w:cs="Arial"/>
                <w:color w:val="000000"/>
                <w:sz w:val="18"/>
                <w:szCs w:val="18"/>
              </w:rPr>
              <w:t>-172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2F665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-37,510</w:t>
            </w:r>
          </w:p>
        </w:tc>
        <w:tc>
          <w:tcPr>
            <w:tcW w:w="1417" w:type="dxa"/>
            <w:tcBorders>
              <w:top w:val="nil"/>
              <w:left w:val="nil"/>
              <w:bottom w:val="single" w:sz="4" w:space="0" w:color="auto"/>
              <w:right w:val="single" w:sz="4" w:space="0" w:color="auto"/>
            </w:tcBorders>
            <w:shd w:val="clear" w:color="auto" w:fill="auto"/>
            <w:noWrap/>
            <w:vAlign w:val="center"/>
            <w:hideMark/>
          </w:tcPr>
          <w:p w14:paraId="7A764F40" w14:textId="77777777" w:rsidR="00AB6725" w:rsidRPr="00AB6725" w:rsidRDefault="00AB6725" w:rsidP="00AB6725">
            <w:pPr>
              <w:jc w:val="right"/>
              <w:rPr>
                <w:rFonts w:cs="Arial"/>
                <w:color w:val="0070C0"/>
                <w:sz w:val="18"/>
                <w:szCs w:val="18"/>
              </w:rPr>
            </w:pPr>
            <w:r w:rsidRPr="00AB6725">
              <w:rPr>
                <w:rFonts w:cs="Arial"/>
                <w:color w:val="000000"/>
                <w:sz w:val="18"/>
                <w:szCs w:val="18"/>
              </w:rPr>
              <w:t>-8,240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CB522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1,290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E1C28A4" w14:textId="77777777" w:rsidR="00AB6725" w:rsidRPr="00AB6725" w:rsidRDefault="00AB6725" w:rsidP="00AB6725">
            <w:pPr>
              <w:jc w:val="right"/>
              <w:rPr>
                <w:rFonts w:cs="Arial"/>
                <w:color w:val="0070C0"/>
                <w:sz w:val="18"/>
                <w:szCs w:val="18"/>
              </w:rPr>
            </w:pPr>
            <w:r w:rsidRPr="00AB6725">
              <w:rPr>
                <w:rFonts w:cs="Arial"/>
                <w:color w:val="000000"/>
                <w:sz w:val="18"/>
                <w:szCs w:val="18"/>
              </w:rPr>
              <w:t>24,227</w:t>
            </w:r>
          </w:p>
        </w:tc>
        <w:tc>
          <w:tcPr>
            <w:tcW w:w="1134" w:type="dxa"/>
            <w:tcBorders>
              <w:top w:val="nil"/>
              <w:left w:val="nil"/>
              <w:bottom w:val="single" w:sz="4" w:space="0" w:color="auto"/>
              <w:right w:val="single" w:sz="4" w:space="0" w:color="auto"/>
            </w:tcBorders>
            <w:shd w:val="clear" w:color="auto" w:fill="auto"/>
            <w:noWrap/>
            <w:vAlign w:val="center"/>
          </w:tcPr>
          <w:p w14:paraId="5950006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25,517</w:t>
            </w:r>
          </w:p>
        </w:tc>
      </w:tr>
      <w:tr w:rsidR="00AB6725" w:rsidRPr="00AB6725" w14:paraId="1E9F014E"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2100AD1" w14:textId="77777777" w:rsidR="00AB6725" w:rsidRPr="00AB6725" w:rsidRDefault="00AB6725" w:rsidP="00AB6725">
            <w:pPr>
              <w:jc w:val="right"/>
              <w:rPr>
                <w:rFonts w:cs="Arial"/>
                <w:color w:val="0070C0"/>
                <w:sz w:val="18"/>
                <w:szCs w:val="18"/>
              </w:rPr>
            </w:pPr>
            <w:r w:rsidRPr="00AB6725">
              <w:rPr>
                <w:rFonts w:cs="Arial"/>
                <w:sz w:val="18"/>
                <w:szCs w:val="18"/>
              </w:rPr>
              <w:t>2034.35</w:t>
            </w:r>
          </w:p>
        </w:tc>
        <w:tc>
          <w:tcPr>
            <w:tcW w:w="1059" w:type="dxa"/>
            <w:tcBorders>
              <w:top w:val="nil"/>
              <w:left w:val="nil"/>
              <w:bottom w:val="single" w:sz="4" w:space="0" w:color="auto"/>
              <w:right w:val="single" w:sz="4" w:space="0" w:color="auto"/>
            </w:tcBorders>
            <w:shd w:val="clear" w:color="auto" w:fill="auto"/>
            <w:noWrap/>
            <w:vAlign w:val="center"/>
            <w:hideMark/>
          </w:tcPr>
          <w:p w14:paraId="3C7BAC7F" w14:textId="77777777" w:rsidR="00AB6725" w:rsidRPr="00AB6725" w:rsidRDefault="00AB6725" w:rsidP="00AB6725">
            <w:pPr>
              <w:jc w:val="right"/>
              <w:rPr>
                <w:rFonts w:cs="Arial"/>
                <w:color w:val="0070C0"/>
                <w:sz w:val="18"/>
                <w:szCs w:val="18"/>
              </w:rPr>
            </w:pPr>
            <w:r w:rsidRPr="00AB6725">
              <w:rPr>
                <w:rFonts w:cs="Arial"/>
                <w:color w:val="000000"/>
                <w:sz w:val="18"/>
                <w:szCs w:val="18"/>
              </w:rPr>
              <w:t>43,690</w:t>
            </w:r>
          </w:p>
        </w:tc>
        <w:tc>
          <w:tcPr>
            <w:tcW w:w="992" w:type="dxa"/>
            <w:tcBorders>
              <w:top w:val="nil"/>
              <w:left w:val="nil"/>
              <w:bottom w:val="single" w:sz="4" w:space="0" w:color="auto"/>
              <w:right w:val="single" w:sz="4" w:space="0" w:color="auto"/>
            </w:tcBorders>
            <w:shd w:val="clear" w:color="auto" w:fill="auto"/>
            <w:noWrap/>
            <w:vAlign w:val="center"/>
            <w:hideMark/>
          </w:tcPr>
          <w:p w14:paraId="6F95634C" w14:textId="77777777" w:rsidR="00AB6725" w:rsidRPr="00AB6725" w:rsidRDefault="00AB6725" w:rsidP="00AB6725">
            <w:pPr>
              <w:jc w:val="right"/>
              <w:rPr>
                <w:rFonts w:cs="Arial"/>
                <w:color w:val="0070C0"/>
                <w:sz w:val="18"/>
                <w:szCs w:val="18"/>
              </w:rPr>
            </w:pPr>
            <w:r w:rsidRPr="00AB6725">
              <w:rPr>
                <w:rFonts w:cs="Arial"/>
                <w:color w:val="000000"/>
                <w:sz w:val="18"/>
                <w:szCs w:val="18"/>
              </w:rPr>
              <w:t>4,120</w:t>
            </w:r>
          </w:p>
        </w:tc>
        <w:tc>
          <w:tcPr>
            <w:tcW w:w="992" w:type="dxa"/>
            <w:tcBorders>
              <w:top w:val="nil"/>
              <w:left w:val="nil"/>
              <w:bottom w:val="single" w:sz="4" w:space="0" w:color="auto"/>
              <w:right w:val="single" w:sz="4" w:space="0" w:color="auto"/>
            </w:tcBorders>
            <w:shd w:val="clear" w:color="auto" w:fill="auto"/>
            <w:noWrap/>
            <w:vAlign w:val="center"/>
            <w:hideMark/>
          </w:tcPr>
          <w:p w14:paraId="510F3F5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47,810</w:t>
            </w:r>
          </w:p>
        </w:tc>
        <w:tc>
          <w:tcPr>
            <w:tcW w:w="1103" w:type="dxa"/>
            <w:tcBorders>
              <w:top w:val="nil"/>
              <w:left w:val="nil"/>
              <w:bottom w:val="single" w:sz="4" w:space="0" w:color="auto"/>
              <w:right w:val="single" w:sz="4" w:space="0" w:color="auto"/>
            </w:tcBorders>
            <w:shd w:val="clear" w:color="auto" w:fill="auto"/>
            <w:noWrap/>
            <w:vAlign w:val="center"/>
            <w:hideMark/>
          </w:tcPr>
          <w:p w14:paraId="50FCBEB2" w14:textId="77777777" w:rsidR="00AB6725" w:rsidRPr="00AB6725" w:rsidRDefault="00AB6725" w:rsidP="00AB6725">
            <w:pPr>
              <w:jc w:val="right"/>
              <w:rPr>
                <w:rFonts w:cs="Arial"/>
                <w:color w:val="0070C0"/>
                <w:sz w:val="18"/>
                <w:szCs w:val="18"/>
              </w:rPr>
            </w:pPr>
            <w:r w:rsidRPr="00AB6725">
              <w:rPr>
                <w:rFonts w:cs="Arial"/>
                <w:color w:val="000000"/>
                <w:sz w:val="18"/>
                <w:szCs w:val="18"/>
              </w:rPr>
              <w:t>-14,193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0B2C9C51" w14:textId="77777777" w:rsidR="00AB6725" w:rsidRPr="00AB6725" w:rsidRDefault="00AB6725" w:rsidP="00AB6725">
            <w:pPr>
              <w:jc w:val="right"/>
              <w:rPr>
                <w:rFonts w:cs="Arial"/>
                <w:color w:val="0070C0"/>
                <w:sz w:val="18"/>
                <w:szCs w:val="18"/>
              </w:rPr>
            </w:pPr>
            <w:r w:rsidRPr="00AB6725">
              <w:rPr>
                <w:rFonts w:cs="Arial"/>
                <w:color w:val="000000"/>
                <w:sz w:val="18"/>
                <w:szCs w:val="18"/>
              </w:rPr>
              <w:t>-12,264</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975873F" w14:textId="77777777" w:rsidR="00AB6725" w:rsidRPr="00AB6725" w:rsidRDefault="00AB6725" w:rsidP="00AB6725">
            <w:pPr>
              <w:jc w:val="right"/>
              <w:rPr>
                <w:rFonts w:cs="Arial"/>
                <w:color w:val="0070C0"/>
                <w:sz w:val="18"/>
                <w:szCs w:val="18"/>
              </w:rPr>
            </w:pPr>
            <w:r w:rsidRPr="00AB6725">
              <w:rPr>
                <w:rFonts w:cs="Arial"/>
                <w:color w:val="000000"/>
                <w:sz w:val="18"/>
                <w:szCs w:val="18"/>
              </w:rPr>
              <w:t>-11,776</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3CD26217" w14:textId="77777777" w:rsidR="00AB6725" w:rsidRPr="00AB6725" w:rsidRDefault="00AB6725" w:rsidP="00AB6725">
            <w:pPr>
              <w:jc w:val="right"/>
              <w:rPr>
                <w:rFonts w:cs="Arial"/>
                <w:color w:val="0070C0"/>
                <w:sz w:val="18"/>
                <w:szCs w:val="18"/>
              </w:rPr>
            </w:pPr>
            <w:r w:rsidRPr="00AB6725">
              <w:rPr>
                <w:rFonts w:cs="Arial"/>
                <w:color w:val="000000"/>
                <w:sz w:val="18"/>
                <w:szCs w:val="18"/>
              </w:rPr>
              <w:t>-176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E09DCE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-38,408</w:t>
            </w:r>
          </w:p>
        </w:tc>
        <w:tc>
          <w:tcPr>
            <w:tcW w:w="1417" w:type="dxa"/>
            <w:tcBorders>
              <w:top w:val="nil"/>
              <w:left w:val="nil"/>
              <w:bottom w:val="single" w:sz="4" w:space="0" w:color="auto"/>
              <w:right w:val="single" w:sz="4" w:space="0" w:color="auto"/>
            </w:tcBorders>
            <w:shd w:val="clear" w:color="auto" w:fill="auto"/>
            <w:noWrap/>
            <w:vAlign w:val="center"/>
            <w:hideMark/>
          </w:tcPr>
          <w:p w14:paraId="0B6C6DE0" w14:textId="77777777" w:rsidR="00AB6725" w:rsidRPr="00AB6725" w:rsidRDefault="00AB6725" w:rsidP="00AB6725">
            <w:pPr>
              <w:jc w:val="right"/>
              <w:rPr>
                <w:rFonts w:cs="Arial"/>
                <w:color w:val="0070C0"/>
                <w:sz w:val="18"/>
                <w:szCs w:val="18"/>
              </w:rPr>
            </w:pPr>
            <w:r w:rsidRPr="00AB6725">
              <w:rPr>
                <w:rFonts w:cs="Arial"/>
                <w:color w:val="000000"/>
                <w:sz w:val="18"/>
                <w:szCs w:val="18"/>
              </w:rPr>
              <w:t>-8,233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BFE9D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1,169</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27AB12D" w14:textId="77777777" w:rsidR="00AB6725" w:rsidRPr="00AB6725" w:rsidRDefault="00AB6725" w:rsidP="00AB6725">
            <w:pPr>
              <w:jc w:val="right"/>
              <w:rPr>
                <w:rFonts w:cs="Arial"/>
                <w:color w:val="0070C0"/>
                <w:sz w:val="18"/>
                <w:szCs w:val="18"/>
              </w:rPr>
            </w:pPr>
            <w:r w:rsidRPr="00AB6725">
              <w:rPr>
                <w:rFonts w:cs="Arial"/>
                <w:color w:val="000000"/>
                <w:sz w:val="18"/>
                <w:szCs w:val="18"/>
              </w:rPr>
              <w:t>25,517</w:t>
            </w:r>
          </w:p>
        </w:tc>
        <w:tc>
          <w:tcPr>
            <w:tcW w:w="1134" w:type="dxa"/>
            <w:tcBorders>
              <w:top w:val="nil"/>
              <w:left w:val="nil"/>
              <w:bottom w:val="single" w:sz="4" w:space="0" w:color="auto"/>
              <w:right w:val="single" w:sz="4" w:space="0" w:color="auto"/>
            </w:tcBorders>
            <w:shd w:val="clear" w:color="auto" w:fill="auto"/>
            <w:noWrap/>
            <w:vAlign w:val="center"/>
          </w:tcPr>
          <w:p w14:paraId="27EBDD8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26,686</w:t>
            </w:r>
          </w:p>
        </w:tc>
      </w:tr>
      <w:tr w:rsidR="00AB6725" w:rsidRPr="00AB6725" w14:paraId="469A88DD"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501BEB6" w14:textId="77777777" w:rsidR="00AB6725" w:rsidRPr="00AB6725" w:rsidRDefault="00AB6725" w:rsidP="00AB6725">
            <w:pPr>
              <w:jc w:val="right"/>
              <w:rPr>
                <w:rFonts w:cs="Arial"/>
                <w:color w:val="0070C0"/>
                <w:sz w:val="18"/>
                <w:szCs w:val="18"/>
              </w:rPr>
            </w:pPr>
            <w:r w:rsidRPr="00AB6725">
              <w:rPr>
                <w:rFonts w:cs="Arial"/>
                <w:sz w:val="18"/>
                <w:szCs w:val="18"/>
              </w:rPr>
              <w:t>2035.36</w:t>
            </w:r>
          </w:p>
        </w:tc>
        <w:tc>
          <w:tcPr>
            <w:tcW w:w="1059" w:type="dxa"/>
            <w:tcBorders>
              <w:top w:val="nil"/>
              <w:left w:val="nil"/>
              <w:bottom w:val="single" w:sz="4" w:space="0" w:color="auto"/>
              <w:right w:val="single" w:sz="4" w:space="0" w:color="auto"/>
            </w:tcBorders>
            <w:shd w:val="clear" w:color="auto" w:fill="auto"/>
            <w:noWrap/>
            <w:vAlign w:val="center"/>
            <w:hideMark/>
          </w:tcPr>
          <w:p w14:paraId="3EFE40DB" w14:textId="77777777" w:rsidR="00AB6725" w:rsidRPr="00AB6725" w:rsidRDefault="00AB6725" w:rsidP="00AB6725">
            <w:pPr>
              <w:jc w:val="right"/>
              <w:rPr>
                <w:rFonts w:cs="Arial"/>
                <w:color w:val="0070C0"/>
                <w:sz w:val="18"/>
                <w:szCs w:val="18"/>
              </w:rPr>
            </w:pPr>
            <w:r w:rsidRPr="00AB6725">
              <w:rPr>
                <w:rFonts w:cs="Arial"/>
                <w:color w:val="000000"/>
                <w:sz w:val="18"/>
                <w:szCs w:val="18"/>
              </w:rPr>
              <w:t>45,252</w:t>
            </w:r>
          </w:p>
        </w:tc>
        <w:tc>
          <w:tcPr>
            <w:tcW w:w="992" w:type="dxa"/>
            <w:tcBorders>
              <w:top w:val="nil"/>
              <w:left w:val="nil"/>
              <w:bottom w:val="single" w:sz="4" w:space="0" w:color="auto"/>
              <w:right w:val="single" w:sz="4" w:space="0" w:color="auto"/>
            </w:tcBorders>
            <w:shd w:val="clear" w:color="auto" w:fill="auto"/>
            <w:noWrap/>
            <w:vAlign w:val="center"/>
            <w:hideMark/>
          </w:tcPr>
          <w:p w14:paraId="3B0AEB40" w14:textId="77777777" w:rsidR="00AB6725" w:rsidRPr="00AB6725" w:rsidRDefault="00AB6725" w:rsidP="00AB6725">
            <w:pPr>
              <w:jc w:val="right"/>
              <w:rPr>
                <w:rFonts w:cs="Arial"/>
                <w:color w:val="0070C0"/>
                <w:sz w:val="18"/>
                <w:szCs w:val="18"/>
              </w:rPr>
            </w:pPr>
            <w:r w:rsidRPr="00AB6725">
              <w:rPr>
                <w:rFonts w:cs="Arial"/>
                <w:color w:val="000000"/>
                <w:sz w:val="18"/>
                <w:szCs w:val="18"/>
              </w:rPr>
              <w:t>4,194</w:t>
            </w:r>
          </w:p>
        </w:tc>
        <w:tc>
          <w:tcPr>
            <w:tcW w:w="992" w:type="dxa"/>
            <w:tcBorders>
              <w:top w:val="nil"/>
              <w:left w:val="nil"/>
              <w:bottom w:val="single" w:sz="4" w:space="0" w:color="auto"/>
              <w:right w:val="single" w:sz="4" w:space="0" w:color="auto"/>
            </w:tcBorders>
            <w:shd w:val="clear" w:color="auto" w:fill="auto"/>
            <w:noWrap/>
            <w:vAlign w:val="center"/>
            <w:hideMark/>
          </w:tcPr>
          <w:p w14:paraId="2CEFB9F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49,446</w:t>
            </w:r>
          </w:p>
        </w:tc>
        <w:tc>
          <w:tcPr>
            <w:tcW w:w="1103" w:type="dxa"/>
            <w:tcBorders>
              <w:top w:val="nil"/>
              <w:left w:val="nil"/>
              <w:bottom w:val="single" w:sz="4" w:space="0" w:color="auto"/>
              <w:right w:val="single" w:sz="4" w:space="0" w:color="auto"/>
            </w:tcBorders>
            <w:shd w:val="clear" w:color="auto" w:fill="auto"/>
            <w:noWrap/>
            <w:vAlign w:val="center"/>
            <w:hideMark/>
          </w:tcPr>
          <w:p w14:paraId="03BEDA2F" w14:textId="77777777" w:rsidR="00AB6725" w:rsidRPr="00AB6725" w:rsidRDefault="00AB6725" w:rsidP="00AB6725">
            <w:pPr>
              <w:jc w:val="right"/>
              <w:rPr>
                <w:rFonts w:cs="Arial"/>
                <w:color w:val="0070C0"/>
                <w:sz w:val="18"/>
                <w:szCs w:val="18"/>
              </w:rPr>
            </w:pPr>
            <w:r w:rsidRPr="00AB6725">
              <w:rPr>
                <w:rFonts w:cs="Arial"/>
                <w:color w:val="000000"/>
                <w:sz w:val="18"/>
                <w:szCs w:val="18"/>
              </w:rPr>
              <w:t>-14,477</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4BC4E430" w14:textId="77777777" w:rsidR="00AB6725" w:rsidRPr="00AB6725" w:rsidRDefault="00AB6725" w:rsidP="00AB6725">
            <w:pPr>
              <w:jc w:val="right"/>
              <w:rPr>
                <w:rFonts w:cs="Arial"/>
                <w:color w:val="0070C0"/>
                <w:sz w:val="18"/>
                <w:szCs w:val="18"/>
              </w:rPr>
            </w:pPr>
            <w:r w:rsidRPr="00AB6725">
              <w:rPr>
                <w:rFonts w:cs="Arial"/>
                <w:color w:val="000000"/>
                <w:sz w:val="18"/>
                <w:szCs w:val="18"/>
              </w:rPr>
              <w:t>-12,571</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B72D83B" w14:textId="77777777" w:rsidR="00AB6725" w:rsidRPr="00AB6725" w:rsidRDefault="00AB6725" w:rsidP="00AB6725">
            <w:pPr>
              <w:jc w:val="right"/>
              <w:rPr>
                <w:rFonts w:cs="Arial"/>
                <w:color w:val="0070C0"/>
                <w:sz w:val="18"/>
                <w:szCs w:val="18"/>
              </w:rPr>
            </w:pPr>
            <w:r w:rsidRPr="00AB6725">
              <w:rPr>
                <w:rFonts w:cs="Arial"/>
                <w:color w:val="000000"/>
                <w:sz w:val="18"/>
                <w:szCs w:val="18"/>
              </w:rPr>
              <w:t>-12,101</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5FDE449F" w14:textId="77777777" w:rsidR="00AB6725" w:rsidRPr="00AB6725" w:rsidRDefault="00AB6725" w:rsidP="00AB6725">
            <w:pPr>
              <w:jc w:val="right"/>
              <w:rPr>
                <w:rFonts w:cs="Arial"/>
                <w:color w:val="0070C0"/>
                <w:sz w:val="18"/>
                <w:szCs w:val="18"/>
              </w:rPr>
            </w:pPr>
            <w:r w:rsidRPr="00AB6725">
              <w:rPr>
                <w:rFonts w:cs="Arial"/>
                <w:color w:val="000000"/>
                <w:sz w:val="18"/>
                <w:szCs w:val="18"/>
              </w:rPr>
              <w:t>-179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FB64E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-39,328</w:t>
            </w:r>
          </w:p>
        </w:tc>
        <w:tc>
          <w:tcPr>
            <w:tcW w:w="1417" w:type="dxa"/>
            <w:tcBorders>
              <w:top w:val="nil"/>
              <w:left w:val="nil"/>
              <w:bottom w:val="single" w:sz="4" w:space="0" w:color="auto"/>
              <w:right w:val="single" w:sz="4" w:space="0" w:color="auto"/>
            </w:tcBorders>
            <w:shd w:val="clear" w:color="auto" w:fill="auto"/>
            <w:noWrap/>
            <w:vAlign w:val="center"/>
            <w:hideMark/>
          </w:tcPr>
          <w:p w14:paraId="035A9CEE" w14:textId="77777777" w:rsidR="00AB6725" w:rsidRPr="00AB6725" w:rsidRDefault="00AB6725" w:rsidP="00AB6725">
            <w:pPr>
              <w:jc w:val="right"/>
              <w:rPr>
                <w:rFonts w:cs="Arial"/>
                <w:color w:val="0070C0"/>
                <w:sz w:val="18"/>
                <w:szCs w:val="18"/>
              </w:rPr>
            </w:pPr>
            <w:r w:rsidRPr="00AB6725">
              <w:rPr>
                <w:rFonts w:cs="Arial"/>
                <w:color w:val="000000"/>
                <w:sz w:val="18"/>
                <w:szCs w:val="18"/>
              </w:rPr>
              <w:t>-8,226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643142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1,891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667FC46" w14:textId="77777777" w:rsidR="00AB6725" w:rsidRPr="00AB6725" w:rsidRDefault="00AB6725" w:rsidP="00AB6725">
            <w:pPr>
              <w:jc w:val="right"/>
              <w:rPr>
                <w:rFonts w:cs="Arial"/>
                <w:color w:val="0070C0"/>
                <w:sz w:val="18"/>
                <w:szCs w:val="18"/>
              </w:rPr>
            </w:pPr>
            <w:r w:rsidRPr="00AB6725">
              <w:rPr>
                <w:rFonts w:cs="Arial"/>
                <w:color w:val="000000"/>
                <w:sz w:val="18"/>
                <w:szCs w:val="18"/>
              </w:rPr>
              <w:t>26,686</w:t>
            </w:r>
          </w:p>
        </w:tc>
        <w:tc>
          <w:tcPr>
            <w:tcW w:w="1134" w:type="dxa"/>
            <w:tcBorders>
              <w:top w:val="nil"/>
              <w:left w:val="nil"/>
              <w:bottom w:val="single" w:sz="4" w:space="0" w:color="auto"/>
              <w:right w:val="single" w:sz="4" w:space="0" w:color="auto"/>
            </w:tcBorders>
            <w:shd w:val="clear" w:color="auto" w:fill="auto"/>
            <w:noWrap/>
            <w:vAlign w:val="center"/>
          </w:tcPr>
          <w:p w14:paraId="2E45CB7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28,577</w:t>
            </w:r>
          </w:p>
        </w:tc>
      </w:tr>
      <w:tr w:rsidR="00AB6725" w:rsidRPr="00AB6725" w14:paraId="77E525D6"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318165D2" w14:textId="77777777" w:rsidR="00AB6725" w:rsidRPr="00AB6725" w:rsidRDefault="00AB6725" w:rsidP="00AB6725">
            <w:pPr>
              <w:jc w:val="right"/>
              <w:rPr>
                <w:rFonts w:cs="Arial"/>
                <w:color w:val="0070C0"/>
                <w:sz w:val="18"/>
                <w:szCs w:val="18"/>
              </w:rPr>
            </w:pPr>
            <w:r w:rsidRPr="00AB6725">
              <w:rPr>
                <w:rFonts w:cs="Arial"/>
                <w:sz w:val="18"/>
                <w:szCs w:val="18"/>
              </w:rPr>
              <w:t>2036.37</w:t>
            </w:r>
          </w:p>
        </w:tc>
        <w:tc>
          <w:tcPr>
            <w:tcW w:w="1059" w:type="dxa"/>
            <w:tcBorders>
              <w:top w:val="nil"/>
              <w:left w:val="nil"/>
              <w:bottom w:val="single" w:sz="4" w:space="0" w:color="auto"/>
              <w:right w:val="single" w:sz="4" w:space="0" w:color="auto"/>
            </w:tcBorders>
            <w:shd w:val="clear" w:color="auto" w:fill="auto"/>
            <w:noWrap/>
            <w:vAlign w:val="center"/>
            <w:hideMark/>
          </w:tcPr>
          <w:p w14:paraId="4C2BF378" w14:textId="77777777" w:rsidR="00AB6725" w:rsidRPr="00AB6725" w:rsidRDefault="00AB6725" w:rsidP="00AB6725">
            <w:pPr>
              <w:jc w:val="right"/>
              <w:rPr>
                <w:rFonts w:cs="Arial"/>
                <w:color w:val="0070C0"/>
                <w:sz w:val="18"/>
                <w:szCs w:val="18"/>
              </w:rPr>
            </w:pPr>
            <w:r w:rsidRPr="00AB6725">
              <w:rPr>
                <w:rFonts w:cs="Arial"/>
                <w:color w:val="000000"/>
                <w:sz w:val="18"/>
                <w:szCs w:val="18"/>
              </w:rPr>
              <w:t>45,117</w:t>
            </w:r>
          </w:p>
        </w:tc>
        <w:tc>
          <w:tcPr>
            <w:tcW w:w="992" w:type="dxa"/>
            <w:tcBorders>
              <w:top w:val="nil"/>
              <w:left w:val="nil"/>
              <w:bottom w:val="single" w:sz="4" w:space="0" w:color="auto"/>
              <w:right w:val="single" w:sz="4" w:space="0" w:color="auto"/>
            </w:tcBorders>
            <w:shd w:val="clear" w:color="auto" w:fill="auto"/>
            <w:noWrap/>
            <w:vAlign w:val="center"/>
            <w:hideMark/>
          </w:tcPr>
          <w:p w14:paraId="4D2815B0" w14:textId="77777777" w:rsidR="00AB6725" w:rsidRPr="00AB6725" w:rsidRDefault="00AB6725" w:rsidP="00AB6725">
            <w:pPr>
              <w:jc w:val="right"/>
              <w:rPr>
                <w:rFonts w:cs="Arial"/>
                <w:color w:val="0070C0"/>
                <w:sz w:val="18"/>
                <w:szCs w:val="18"/>
              </w:rPr>
            </w:pPr>
            <w:r w:rsidRPr="00AB6725">
              <w:rPr>
                <w:rFonts w:cs="Arial"/>
                <w:color w:val="000000"/>
                <w:sz w:val="18"/>
                <w:szCs w:val="18"/>
              </w:rPr>
              <w:t>4,270</w:t>
            </w:r>
          </w:p>
        </w:tc>
        <w:tc>
          <w:tcPr>
            <w:tcW w:w="992" w:type="dxa"/>
            <w:tcBorders>
              <w:top w:val="nil"/>
              <w:left w:val="nil"/>
              <w:bottom w:val="single" w:sz="4" w:space="0" w:color="auto"/>
              <w:right w:val="single" w:sz="4" w:space="0" w:color="auto"/>
            </w:tcBorders>
            <w:shd w:val="clear" w:color="auto" w:fill="auto"/>
            <w:noWrap/>
            <w:vAlign w:val="center"/>
            <w:hideMark/>
          </w:tcPr>
          <w:p w14:paraId="15D4EBA3"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49,387</w:t>
            </w:r>
          </w:p>
        </w:tc>
        <w:tc>
          <w:tcPr>
            <w:tcW w:w="1103" w:type="dxa"/>
            <w:tcBorders>
              <w:top w:val="nil"/>
              <w:left w:val="nil"/>
              <w:bottom w:val="single" w:sz="4" w:space="0" w:color="auto"/>
              <w:right w:val="single" w:sz="4" w:space="0" w:color="auto"/>
            </w:tcBorders>
            <w:shd w:val="clear" w:color="auto" w:fill="auto"/>
            <w:noWrap/>
            <w:vAlign w:val="center"/>
            <w:hideMark/>
          </w:tcPr>
          <w:p w14:paraId="246098DE" w14:textId="77777777" w:rsidR="00AB6725" w:rsidRPr="00AB6725" w:rsidRDefault="00AB6725" w:rsidP="00AB6725">
            <w:pPr>
              <w:jc w:val="right"/>
              <w:rPr>
                <w:rFonts w:cs="Arial"/>
                <w:color w:val="0070C0"/>
                <w:sz w:val="18"/>
                <w:szCs w:val="18"/>
              </w:rPr>
            </w:pPr>
            <w:r w:rsidRPr="00AB6725">
              <w:rPr>
                <w:rFonts w:cs="Arial"/>
                <w:color w:val="000000"/>
                <w:sz w:val="18"/>
                <w:szCs w:val="18"/>
              </w:rPr>
              <w:t>-14,766</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28D54F85" w14:textId="77777777" w:rsidR="00AB6725" w:rsidRPr="00AB6725" w:rsidRDefault="00AB6725" w:rsidP="00AB6725">
            <w:pPr>
              <w:jc w:val="right"/>
              <w:rPr>
                <w:rFonts w:cs="Arial"/>
                <w:color w:val="0070C0"/>
                <w:sz w:val="18"/>
                <w:szCs w:val="18"/>
              </w:rPr>
            </w:pPr>
            <w:r w:rsidRPr="00AB6725">
              <w:rPr>
                <w:rFonts w:cs="Arial"/>
                <w:color w:val="000000"/>
                <w:sz w:val="18"/>
                <w:szCs w:val="18"/>
              </w:rPr>
              <w:t>-12,887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A58771D" w14:textId="77777777" w:rsidR="00AB6725" w:rsidRPr="00AB6725" w:rsidRDefault="00AB6725" w:rsidP="00AB6725">
            <w:pPr>
              <w:jc w:val="right"/>
              <w:rPr>
                <w:rFonts w:cs="Arial"/>
                <w:color w:val="0070C0"/>
                <w:sz w:val="18"/>
                <w:szCs w:val="18"/>
              </w:rPr>
            </w:pPr>
            <w:r w:rsidRPr="00AB6725">
              <w:rPr>
                <w:rFonts w:cs="Arial"/>
                <w:color w:val="000000"/>
                <w:sz w:val="18"/>
                <w:szCs w:val="18"/>
              </w:rPr>
              <w:t>-12,434</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4EDE4630" w14:textId="77777777" w:rsidR="00AB6725" w:rsidRPr="00AB6725" w:rsidRDefault="00AB6725" w:rsidP="00AB6725">
            <w:pPr>
              <w:jc w:val="right"/>
              <w:rPr>
                <w:rFonts w:cs="Arial"/>
                <w:color w:val="0070C0"/>
                <w:sz w:val="18"/>
                <w:szCs w:val="18"/>
              </w:rPr>
            </w:pPr>
            <w:r w:rsidRPr="00AB6725">
              <w:rPr>
                <w:rFonts w:cs="Arial"/>
                <w:color w:val="000000"/>
                <w:sz w:val="18"/>
                <w:szCs w:val="18"/>
              </w:rPr>
              <w:t>-183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037712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-40,270</w:t>
            </w:r>
          </w:p>
        </w:tc>
        <w:tc>
          <w:tcPr>
            <w:tcW w:w="1417" w:type="dxa"/>
            <w:tcBorders>
              <w:top w:val="nil"/>
              <w:left w:val="nil"/>
              <w:bottom w:val="single" w:sz="4" w:space="0" w:color="auto"/>
              <w:right w:val="single" w:sz="4" w:space="0" w:color="auto"/>
            </w:tcBorders>
            <w:shd w:val="clear" w:color="auto" w:fill="auto"/>
            <w:noWrap/>
            <w:vAlign w:val="center"/>
            <w:hideMark/>
          </w:tcPr>
          <w:p w14:paraId="29FDF86F" w14:textId="77777777" w:rsidR="00AB6725" w:rsidRPr="00AB6725" w:rsidRDefault="00AB6725" w:rsidP="00AB6725">
            <w:pPr>
              <w:jc w:val="right"/>
              <w:rPr>
                <w:rFonts w:cs="Arial"/>
                <w:color w:val="0070C0"/>
                <w:sz w:val="18"/>
                <w:szCs w:val="18"/>
              </w:rPr>
            </w:pPr>
            <w:r w:rsidRPr="00AB6725">
              <w:rPr>
                <w:rFonts w:cs="Arial"/>
                <w:color w:val="000000"/>
                <w:sz w:val="18"/>
                <w:szCs w:val="18"/>
              </w:rPr>
              <w:t>-8,221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30846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896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553C16" w14:textId="77777777" w:rsidR="00AB6725" w:rsidRPr="00AB6725" w:rsidRDefault="00AB6725" w:rsidP="00AB6725">
            <w:pPr>
              <w:jc w:val="right"/>
              <w:rPr>
                <w:rFonts w:cs="Arial"/>
                <w:color w:val="0070C0"/>
                <w:sz w:val="18"/>
                <w:szCs w:val="18"/>
              </w:rPr>
            </w:pPr>
            <w:r w:rsidRPr="00AB6725">
              <w:rPr>
                <w:rFonts w:cs="Arial"/>
                <w:color w:val="000000"/>
                <w:sz w:val="18"/>
                <w:szCs w:val="18"/>
              </w:rPr>
              <w:t>28,577</w:t>
            </w:r>
          </w:p>
        </w:tc>
        <w:tc>
          <w:tcPr>
            <w:tcW w:w="1134" w:type="dxa"/>
            <w:tcBorders>
              <w:top w:val="nil"/>
              <w:left w:val="nil"/>
              <w:bottom w:val="single" w:sz="4" w:space="0" w:color="auto"/>
              <w:right w:val="single" w:sz="4" w:space="0" w:color="auto"/>
            </w:tcBorders>
            <w:shd w:val="clear" w:color="auto" w:fill="auto"/>
            <w:noWrap/>
            <w:vAlign w:val="center"/>
          </w:tcPr>
          <w:p w14:paraId="07EF06D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29,473</w:t>
            </w:r>
          </w:p>
        </w:tc>
      </w:tr>
      <w:tr w:rsidR="00AB6725" w:rsidRPr="00AB6725" w14:paraId="29EEC193"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CE97F80" w14:textId="77777777" w:rsidR="00AB6725" w:rsidRPr="00AB6725" w:rsidRDefault="00AB6725" w:rsidP="00AB6725">
            <w:pPr>
              <w:jc w:val="right"/>
              <w:rPr>
                <w:rFonts w:cs="Arial"/>
                <w:color w:val="0070C0"/>
                <w:sz w:val="18"/>
                <w:szCs w:val="18"/>
              </w:rPr>
            </w:pPr>
            <w:r w:rsidRPr="00AB6725">
              <w:rPr>
                <w:rFonts w:cs="Arial"/>
                <w:sz w:val="18"/>
                <w:szCs w:val="18"/>
              </w:rPr>
              <w:t>2037.38</w:t>
            </w:r>
          </w:p>
        </w:tc>
        <w:tc>
          <w:tcPr>
            <w:tcW w:w="1059" w:type="dxa"/>
            <w:tcBorders>
              <w:top w:val="nil"/>
              <w:left w:val="nil"/>
              <w:bottom w:val="single" w:sz="4" w:space="0" w:color="auto"/>
              <w:right w:val="single" w:sz="4" w:space="0" w:color="auto"/>
            </w:tcBorders>
            <w:shd w:val="clear" w:color="auto" w:fill="auto"/>
            <w:noWrap/>
            <w:vAlign w:val="center"/>
            <w:hideMark/>
          </w:tcPr>
          <w:p w14:paraId="14CD159D" w14:textId="77777777" w:rsidR="00AB6725" w:rsidRPr="00AB6725" w:rsidRDefault="00AB6725" w:rsidP="00AB6725">
            <w:pPr>
              <w:jc w:val="right"/>
              <w:rPr>
                <w:rFonts w:cs="Arial"/>
                <w:color w:val="0070C0"/>
                <w:sz w:val="18"/>
                <w:szCs w:val="18"/>
              </w:rPr>
            </w:pPr>
            <w:r w:rsidRPr="00AB6725">
              <w:rPr>
                <w:rFonts w:cs="Arial"/>
                <w:color w:val="000000"/>
                <w:sz w:val="18"/>
                <w:szCs w:val="18"/>
              </w:rPr>
              <w:t>45,846</w:t>
            </w:r>
          </w:p>
        </w:tc>
        <w:tc>
          <w:tcPr>
            <w:tcW w:w="992" w:type="dxa"/>
            <w:tcBorders>
              <w:top w:val="nil"/>
              <w:left w:val="nil"/>
              <w:bottom w:val="single" w:sz="4" w:space="0" w:color="auto"/>
              <w:right w:val="single" w:sz="4" w:space="0" w:color="auto"/>
            </w:tcBorders>
            <w:shd w:val="clear" w:color="auto" w:fill="auto"/>
            <w:noWrap/>
            <w:vAlign w:val="center"/>
            <w:hideMark/>
          </w:tcPr>
          <w:p w14:paraId="1AC2DFC9" w14:textId="77777777" w:rsidR="00AB6725" w:rsidRPr="00AB6725" w:rsidRDefault="00AB6725" w:rsidP="00AB6725">
            <w:pPr>
              <w:jc w:val="right"/>
              <w:rPr>
                <w:rFonts w:cs="Arial"/>
                <w:color w:val="0070C0"/>
                <w:sz w:val="18"/>
                <w:szCs w:val="18"/>
              </w:rPr>
            </w:pPr>
            <w:r w:rsidRPr="00AB6725">
              <w:rPr>
                <w:rFonts w:cs="Arial"/>
                <w:color w:val="000000"/>
                <w:sz w:val="18"/>
                <w:szCs w:val="18"/>
              </w:rPr>
              <w:t>4,349</w:t>
            </w:r>
          </w:p>
        </w:tc>
        <w:tc>
          <w:tcPr>
            <w:tcW w:w="992" w:type="dxa"/>
            <w:tcBorders>
              <w:top w:val="nil"/>
              <w:left w:val="nil"/>
              <w:bottom w:val="single" w:sz="4" w:space="0" w:color="auto"/>
              <w:right w:val="single" w:sz="4" w:space="0" w:color="auto"/>
            </w:tcBorders>
            <w:shd w:val="clear" w:color="auto" w:fill="auto"/>
            <w:noWrap/>
            <w:vAlign w:val="center"/>
            <w:hideMark/>
          </w:tcPr>
          <w:p w14:paraId="410FDAE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50,195</w:t>
            </w:r>
          </w:p>
        </w:tc>
        <w:tc>
          <w:tcPr>
            <w:tcW w:w="1103" w:type="dxa"/>
            <w:tcBorders>
              <w:top w:val="nil"/>
              <w:left w:val="nil"/>
              <w:bottom w:val="single" w:sz="4" w:space="0" w:color="auto"/>
              <w:right w:val="single" w:sz="4" w:space="0" w:color="auto"/>
            </w:tcBorders>
            <w:shd w:val="clear" w:color="auto" w:fill="auto"/>
            <w:noWrap/>
            <w:vAlign w:val="center"/>
            <w:hideMark/>
          </w:tcPr>
          <w:p w14:paraId="184D3180" w14:textId="77777777" w:rsidR="00AB6725" w:rsidRPr="00AB6725" w:rsidRDefault="00AB6725" w:rsidP="00AB6725">
            <w:pPr>
              <w:jc w:val="right"/>
              <w:rPr>
                <w:rFonts w:cs="Arial"/>
                <w:color w:val="0070C0"/>
                <w:sz w:val="18"/>
                <w:szCs w:val="18"/>
              </w:rPr>
            </w:pPr>
            <w:r w:rsidRPr="00AB6725">
              <w:rPr>
                <w:rFonts w:cs="Arial"/>
                <w:color w:val="000000"/>
                <w:sz w:val="18"/>
                <w:szCs w:val="18"/>
              </w:rPr>
              <w:t>-15,061</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6470B8B7" w14:textId="77777777" w:rsidR="00AB6725" w:rsidRPr="00AB6725" w:rsidRDefault="00AB6725" w:rsidP="00AB6725">
            <w:pPr>
              <w:jc w:val="right"/>
              <w:rPr>
                <w:rFonts w:cs="Arial"/>
                <w:color w:val="0070C0"/>
                <w:sz w:val="18"/>
                <w:szCs w:val="18"/>
              </w:rPr>
            </w:pPr>
            <w:r w:rsidRPr="00AB6725">
              <w:rPr>
                <w:rFonts w:cs="Arial"/>
                <w:color w:val="000000"/>
                <w:sz w:val="18"/>
                <w:szCs w:val="18"/>
              </w:rPr>
              <w:t>-13,210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36B2DAE" w14:textId="77777777" w:rsidR="00AB6725" w:rsidRPr="00AB6725" w:rsidRDefault="00AB6725" w:rsidP="00AB6725">
            <w:pPr>
              <w:jc w:val="right"/>
              <w:rPr>
                <w:rFonts w:cs="Arial"/>
                <w:color w:val="0070C0"/>
                <w:sz w:val="18"/>
                <w:szCs w:val="18"/>
              </w:rPr>
            </w:pPr>
            <w:r w:rsidRPr="00AB6725">
              <w:rPr>
                <w:rFonts w:cs="Arial"/>
                <w:color w:val="000000"/>
                <w:sz w:val="18"/>
                <w:szCs w:val="18"/>
              </w:rPr>
              <w:t>-12,777</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51C446F3" w14:textId="77777777" w:rsidR="00AB6725" w:rsidRPr="00AB6725" w:rsidRDefault="00AB6725" w:rsidP="00AB6725">
            <w:pPr>
              <w:jc w:val="right"/>
              <w:rPr>
                <w:rFonts w:cs="Arial"/>
                <w:color w:val="0070C0"/>
                <w:sz w:val="18"/>
                <w:szCs w:val="18"/>
              </w:rPr>
            </w:pPr>
            <w:r w:rsidRPr="00AB6725">
              <w:rPr>
                <w:rFonts w:cs="Arial"/>
                <w:color w:val="000000"/>
                <w:sz w:val="18"/>
                <w:szCs w:val="18"/>
              </w:rPr>
              <w:t>-187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E2B0D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-41,235</w:t>
            </w:r>
          </w:p>
        </w:tc>
        <w:tc>
          <w:tcPr>
            <w:tcW w:w="1417" w:type="dxa"/>
            <w:tcBorders>
              <w:top w:val="nil"/>
              <w:left w:val="nil"/>
              <w:bottom w:val="single" w:sz="4" w:space="0" w:color="auto"/>
              <w:right w:val="single" w:sz="4" w:space="0" w:color="auto"/>
            </w:tcBorders>
            <w:shd w:val="clear" w:color="auto" w:fill="auto"/>
            <w:noWrap/>
            <w:vAlign w:val="center"/>
            <w:hideMark/>
          </w:tcPr>
          <w:p w14:paraId="20A71CC5" w14:textId="77777777" w:rsidR="00AB6725" w:rsidRPr="00AB6725" w:rsidRDefault="00AB6725" w:rsidP="00AB6725">
            <w:pPr>
              <w:jc w:val="right"/>
              <w:rPr>
                <w:rFonts w:cs="Arial"/>
                <w:color w:val="0070C0"/>
                <w:sz w:val="18"/>
                <w:szCs w:val="18"/>
              </w:rPr>
            </w:pPr>
            <w:r w:rsidRPr="00AB6725">
              <w:rPr>
                <w:rFonts w:cs="Arial"/>
                <w:color w:val="000000"/>
                <w:sz w:val="18"/>
                <w:szCs w:val="18"/>
              </w:rPr>
              <w:t>-8,217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607845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744</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96DB29D" w14:textId="77777777" w:rsidR="00AB6725" w:rsidRPr="00AB6725" w:rsidRDefault="00AB6725" w:rsidP="00AB6725">
            <w:pPr>
              <w:jc w:val="right"/>
              <w:rPr>
                <w:rFonts w:cs="Arial"/>
                <w:color w:val="0070C0"/>
                <w:sz w:val="18"/>
                <w:szCs w:val="18"/>
              </w:rPr>
            </w:pPr>
            <w:r w:rsidRPr="00AB6725">
              <w:rPr>
                <w:rFonts w:cs="Arial"/>
                <w:color w:val="000000"/>
                <w:sz w:val="18"/>
                <w:szCs w:val="18"/>
              </w:rPr>
              <w:t>29,473</w:t>
            </w:r>
          </w:p>
        </w:tc>
        <w:tc>
          <w:tcPr>
            <w:tcW w:w="1134" w:type="dxa"/>
            <w:tcBorders>
              <w:top w:val="nil"/>
              <w:left w:val="nil"/>
              <w:bottom w:val="single" w:sz="4" w:space="0" w:color="auto"/>
              <w:right w:val="single" w:sz="4" w:space="0" w:color="auto"/>
            </w:tcBorders>
            <w:shd w:val="clear" w:color="auto" w:fill="auto"/>
            <w:noWrap/>
            <w:vAlign w:val="center"/>
          </w:tcPr>
          <w:p w14:paraId="7069E7C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30,216</w:t>
            </w:r>
          </w:p>
        </w:tc>
      </w:tr>
      <w:tr w:rsidR="00AB6725" w:rsidRPr="00AB6725" w14:paraId="459F4185"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784E211" w14:textId="77777777" w:rsidR="00AB6725" w:rsidRPr="00AB6725" w:rsidRDefault="00AB6725" w:rsidP="00AB6725">
            <w:pPr>
              <w:jc w:val="right"/>
              <w:rPr>
                <w:rFonts w:cs="Arial"/>
                <w:color w:val="0070C0"/>
                <w:sz w:val="18"/>
                <w:szCs w:val="18"/>
              </w:rPr>
            </w:pPr>
            <w:r w:rsidRPr="00AB6725">
              <w:rPr>
                <w:rFonts w:cs="Arial"/>
                <w:sz w:val="18"/>
                <w:szCs w:val="18"/>
              </w:rPr>
              <w:t>2038.39</w:t>
            </w:r>
          </w:p>
        </w:tc>
        <w:tc>
          <w:tcPr>
            <w:tcW w:w="1059" w:type="dxa"/>
            <w:tcBorders>
              <w:top w:val="nil"/>
              <w:left w:val="nil"/>
              <w:bottom w:val="single" w:sz="4" w:space="0" w:color="auto"/>
              <w:right w:val="single" w:sz="4" w:space="0" w:color="auto"/>
            </w:tcBorders>
            <w:shd w:val="clear" w:color="auto" w:fill="auto"/>
            <w:noWrap/>
            <w:vAlign w:val="center"/>
            <w:hideMark/>
          </w:tcPr>
          <w:p w14:paraId="4FE192D2" w14:textId="77777777" w:rsidR="00AB6725" w:rsidRPr="00AB6725" w:rsidRDefault="00AB6725" w:rsidP="00AB6725">
            <w:pPr>
              <w:jc w:val="right"/>
              <w:rPr>
                <w:rFonts w:cs="Arial"/>
                <w:color w:val="0070C0"/>
                <w:sz w:val="18"/>
                <w:szCs w:val="18"/>
              </w:rPr>
            </w:pPr>
            <w:r w:rsidRPr="00AB6725">
              <w:rPr>
                <w:rFonts w:cs="Arial"/>
                <w:color w:val="000000"/>
                <w:sz w:val="18"/>
                <w:szCs w:val="18"/>
              </w:rPr>
              <w:t>46,587</w:t>
            </w:r>
          </w:p>
        </w:tc>
        <w:tc>
          <w:tcPr>
            <w:tcW w:w="992" w:type="dxa"/>
            <w:tcBorders>
              <w:top w:val="nil"/>
              <w:left w:val="nil"/>
              <w:bottom w:val="single" w:sz="4" w:space="0" w:color="auto"/>
              <w:right w:val="single" w:sz="4" w:space="0" w:color="auto"/>
            </w:tcBorders>
            <w:shd w:val="clear" w:color="auto" w:fill="auto"/>
            <w:noWrap/>
            <w:vAlign w:val="center"/>
            <w:hideMark/>
          </w:tcPr>
          <w:p w14:paraId="1BCA6AAB" w14:textId="77777777" w:rsidR="00AB6725" w:rsidRPr="00AB6725" w:rsidRDefault="00AB6725" w:rsidP="00AB6725">
            <w:pPr>
              <w:jc w:val="right"/>
              <w:rPr>
                <w:rFonts w:cs="Arial"/>
                <w:color w:val="0070C0"/>
                <w:sz w:val="18"/>
                <w:szCs w:val="18"/>
              </w:rPr>
            </w:pPr>
            <w:r w:rsidRPr="00AB6725">
              <w:rPr>
                <w:rFonts w:cs="Arial"/>
                <w:color w:val="000000"/>
                <w:sz w:val="18"/>
                <w:szCs w:val="18"/>
              </w:rPr>
              <w:t>4,430</w:t>
            </w:r>
          </w:p>
        </w:tc>
        <w:tc>
          <w:tcPr>
            <w:tcW w:w="992" w:type="dxa"/>
            <w:tcBorders>
              <w:top w:val="nil"/>
              <w:left w:val="nil"/>
              <w:bottom w:val="single" w:sz="4" w:space="0" w:color="auto"/>
              <w:right w:val="single" w:sz="4" w:space="0" w:color="auto"/>
            </w:tcBorders>
            <w:shd w:val="clear" w:color="auto" w:fill="auto"/>
            <w:noWrap/>
            <w:vAlign w:val="center"/>
            <w:hideMark/>
          </w:tcPr>
          <w:p w14:paraId="3F6AD69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51,017</w:t>
            </w:r>
          </w:p>
        </w:tc>
        <w:tc>
          <w:tcPr>
            <w:tcW w:w="1103" w:type="dxa"/>
            <w:tcBorders>
              <w:top w:val="nil"/>
              <w:left w:val="nil"/>
              <w:bottom w:val="single" w:sz="4" w:space="0" w:color="auto"/>
              <w:right w:val="single" w:sz="4" w:space="0" w:color="auto"/>
            </w:tcBorders>
            <w:shd w:val="clear" w:color="auto" w:fill="auto"/>
            <w:noWrap/>
            <w:vAlign w:val="center"/>
            <w:hideMark/>
          </w:tcPr>
          <w:p w14:paraId="00B67E94" w14:textId="77777777" w:rsidR="00AB6725" w:rsidRPr="00AB6725" w:rsidRDefault="00AB6725" w:rsidP="00AB6725">
            <w:pPr>
              <w:jc w:val="right"/>
              <w:rPr>
                <w:rFonts w:cs="Arial"/>
                <w:color w:val="0070C0"/>
                <w:sz w:val="18"/>
                <w:szCs w:val="18"/>
              </w:rPr>
            </w:pPr>
            <w:r w:rsidRPr="00AB6725">
              <w:rPr>
                <w:rFonts w:cs="Arial"/>
                <w:color w:val="000000"/>
                <w:sz w:val="18"/>
                <w:szCs w:val="18"/>
              </w:rPr>
              <w:t>-15,363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74229794" w14:textId="77777777" w:rsidR="00AB6725" w:rsidRPr="00AB6725" w:rsidRDefault="00AB6725" w:rsidP="00AB6725">
            <w:pPr>
              <w:jc w:val="right"/>
              <w:rPr>
                <w:rFonts w:cs="Arial"/>
                <w:color w:val="0070C0"/>
                <w:sz w:val="18"/>
                <w:szCs w:val="18"/>
              </w:rPr>
            </w:pPr>
            <w:r w:rsidRPr="00AB6725">
              <w:rPr>
                <w:rFonts w:cs="Arial"/>
                <w:color w:val="000000"/>
                <w:sz w:val="18"/>
                <w:szCs w:val="18"/>
              </w:rPr>
              <w:t>-13,541</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E1E0239" w14:textId="77777777" w:rsidR="00AB6725" w:rsidRPr="00AB6725" w:rsidRDefault="00AB6725" w:rsidP="00AB6725">
            <w:pPr>
              <w:jc w:val="right"/>
              <w:rPr>
                <w:rFonts w:cs="Arial"/>
                <w:color w:val="0070C0"/>
                <w:sz w:val="18"/>
                <w:szCs w:val="18"/>
              </w:rPr>
            </w:pPr>
            <w:r w:rsidRPr="00AB6725">
              <w:rPr>
                <w:rFonts w:cs="Arial"/>
                <w:color w:val="000000"/>
                <w:sz w:val="18"/>
                <w:szCs w:val="18"/>
              </w:rPr>
              <w:t>-13,129</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10483B06" w14:textId="77777777" w:rsidR="00AB6725" w:rsidRPr="00AB6725" w:rsidRDefault="00AB6725" w:rsidP="00AB6725">
            <w:pPr>
              <w:jc w:val="right"/>
              <w:rPr>
                <w:rFonts w:cs="Arial"/>
                <w:color w:val="0070C0"/>
                <w:sz w:val="18"/>
                <w:szCs w:val="18"/>
              </w:rPr>
            </w:pPr>
            <w:r w:rsidRPr="00AB6725">
              <w:rPr>
                <w:rFonts w:cs="Arial"/>
                <w:color w:val="000000"/>
                <w:sz w:val="18"/>
                <w:szCs w:val="18"/>
              </w:rPr>
              <w:t>-190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0D017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-42,223</w:t>
            </w:r>
          </w:p>
        </w:tc>
        <w:tc>
          <w:tcPr>
            <w:tcW w:w="1417" w:type="dxa"/>
            <w:tcBorders>
              <w:top w:val="nil"/>
              <w:left w:val="nil"/>
              <w:bottom w:val="single" w:sz="4" w:space="0" w:color="auto"/>
              <w:right w:val="single" w:sz="4" w:space="0" w:color="auto"/>
            </w:tcBorders>
            <w:shd w:val="clear" w:color="auto" w:fill="auto"/>
            <w:noWrap/>
            <w:vAlign w:val="center"/>
            <w:hideMark/>
          </w:tcPr>
          <w:p w14:paraId="13FDF31F" w14:textId="77777777" w:rsidR="00AB6725" w:rsidRPr="00AB6725" w:rsidRDefault="00AB6725" w:rsidP="00AB6725">
            <w:pPr>
              <w:jc w:val="right"/>
              <w:rPr>
                <w:rFonts w:cs="Arial"/>
                <w:color w:val="0070C0"/>
                <w:sz w:val="18"/>
                <w:szCs w:val="18"/>
              </w:rPr>
            </w:pPr>
            <w:r w:rsidRPr="00AB6725">
              <w:rPr>
                <w:rFonts w:cs="Arial"/>
                <w:color w:val="000000"/>
                <w:sz w:val="18"/>
                <w:szCs w:val="18"/>
              </w:rPr>
              <w:t>-8,213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064AB4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581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0B936C" w14:textId="77777777" w:rsidR="00AB6725" w:rsidRPr="00AB6725" w:rsidRDefault="00AB6725" w:rsidP="00AB6725">
            <w:pPr>
              <w:jc w:val="right"/>
              <w:rPr>
                <w:rFonts w:cs="Arial"/>
                <w:color w:val="0070C0"/>
                <w:sz w:val="18"/>
                <w:szCs w:val="18"/>
              </w:rPr>
            </w:pPr>
            <w:r w:rsidRPr="00AB6725">
              <w:rPr>
                <w:rFonts w:cs="Arial"/>
                <w:color w:val="000000"/>
                <w:sz w:val="18"/>
                <w:szCs w:val="18"/>
              </w:rPr>
              <w:t>30,216</w:t>
            </w:r>
          </w:p>
        </w:tc>
        <w:tc>
          <w:tcPr>
            <w:tcW w:w="1134" w:type="dxa"/>
            <w:tcBorders>
              <w:top w:val="nil"/>
              <w:left w:val="nil"/>
              <w:bottom w:val="single" w:sz="4" w:space="0" w:color="auto"/>
              <w:right w:val="single" w:sz="4" w:space="0" w:color="auto"/>
            </w:tcBorders>
            <w:shd w:val="clear" w:color="auto" w:fill="auto"/>
            <w:noWrap/>
            <w:vAlign w:val="center"/>
          </w:tcPr>
          <w:p w14:paraId="3423346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30,798</w:t>
            </w:r>
          </w:p>
        </w:tc>
      </w:tr>
      <w:tr w:rsidR="00AB6725" w:rsidRPr="00AB6725" w14:paraId="041EA9D6"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9A15D54" w14:textId="77777777" w:rsidR="00AB6725" w:rsidRPr="00AB6725" w:rsidRDefault="00AB6725" w:rsidP="00AB6725">
            <w:pPr>
              <w:jc w:val="right"/>
              <w:rPr>
                <w:rFonts w:cs="Arial"/>
                <w:color w:val="0070C0"/>
                <w:sz w:val="18"/>
                <w:szCs w:val="18"/>
              </w:rPr>
            </w:pPr>
            <w:r w:rsidRPr="00AB6725">
              <w:rPr>
                <w:rFonts w:cs="Arial"/>
                <w:sz w:val="18"/>
                <w:szCs w:val="18"/>
              </w:rPr>
              <w:t>2039.40</w:t>
            </w:r>
          </w:p>
        </w:tc>
        <w:tc>
          <w:tcPr>
            <w:tcW w:w="1059" w:type="dxa"/>
            <w:tcBorders>
              <w:top w:val="nil"/>
              <w:left w:val="nil"/>
              <w:bottom w:val="single" w:sz="4" w:space="0" w:color="auto"/>
              <w:right w:val="single" w:sz="4" w:space="0" w:color="auto"/>
            </w:tcBorders>
            <w:shd w:val="clear" w:color="auto" w:fill="auto"/>
            <w:noWrap/>
            <w:vAlign w:val="center"/>
            <w:hideMark/>
          </w:tcPr>
          <w:p w14:paraId="0E861EC2" w14:textId="77777777" w:rsidR="00AB6725" w:rsidRPr="00AB6725" w:rsidRDefault="00AB6725" w:rsidP="00AB6725">
            <w:pPr>
              <w:jc w:val="right"/>
              <w:rPr>
                <w:rFonts w:cs="Arial"/>
                <w:color w:val="0070C0"/>
                <w:sz w:val="18"/>
                <w:szCs w:val="18"/>
              </w:rPr>
            </w:pPr>
            <w:r w:rsidRPr="00AB6725">
              <w:rPr>
                <w:rFonts w:cs="Arial"/>
                <w:color w:val="000000"/>
                <w:sz w:val="18"/>
                <w:szCs w:val="18"/>
              </w:rPr>
              <w:t>47,339</w:t>
            </w:r>
          </w:p>
        </w:tc>
        <w:tc>
          <w:tcPr>
            <w:tcW w:w="992" w:type="dxa"/>
            <w:tcBorders>
              <w:top w:val="nil"/>
              <w:left w:val="nil"/>
              <w:bottom w:val="single" w:sz="4" w:space="0" w:color="auto"/>
              <w:right w:val="single" w:sz="4" w:space="0" w:color="auto"/>
            </w:tcBorders>
            <w:shd w:val="clear" w:color="auto" w:fill="auto"/>
            <w:noWrap/>
            <w:vAlign w:val="center"/>
            <w:hideMark/>
          </w:tcPr>
          <w:p w14:paraId="4A56B7A4" w14:textId="77777777" w:rsidR="00AB6725" w:rsidRPr="00AB6725" w:rsidRDefault="00AB6725" w:rsidP="00AB6725">
            <w:pPr>
              <w:jc w:val="right"/>
              <w:rPr>
                <w:rFonts w:cs="Arial"/>
                <w:color w:val="0070C0"/>
                <w:sz w:val="18"/>
                <w:szCs w:val="18"/>
              </w:rPr>
            </w:pPr>
            <w:r w:rsidRPr="00AB6725">
              <w:rPr>
                <w:rFonts w:cs="Arial"/>
                <w:color w:val="000000"/>
                <w:sz w:val="18"/>
                <w:szCs w:val="18"/>
              </w:rPr>
              <w:t>4,514</w:t>
            </w:r>
          </w:p>
        </w:tc>
        <w:tc>
          <w:tcPr>
            <w:tcW w:w="992" w:type="dxa"/>
            <w:tcBorders>
              <w:top w:val="nil"/>
              <w:left w:val="nil"/>
              <w:bottom w:val="single" w:sz="4" w:space="0" w:color="auto"/>
              <w:right w:val="single" w:sz="4" w:space="0" w:color="auto"/>
            </w:tcBorders>
            <w:shd w:val="clear" w:color="auto" w:fill="auto"/>
            <w:noWrap/>
            <w:vAlign w:val="center"/>
            <w:hideMark/>
          </w:tcPr>
          <w:p w14:paraId="7BCFED2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51,852</w:t>
            </w:r>
          </w:p>
        </w:tc>
        <w:tc>
          <w:tcPr>
            <w:tcW w:w="1103" w:type="dxa"/>
            <w:tcBorders>
              <w:top w:val="nil"/>
              <w:left w:val="nil"/>
              <w:bottom w:val="single" w:sz="4" w:space="0" w:color="auto"/>
              <w:right w:val="single" w:sz="4" w:space="0" w:color="auto"/>
            </w:tcBorders>
            <w:shd w:val="clear" w:color="auto" w:fill="auto"/>
            <w:noWrap/>
            <w:vAlign w:val="center"/>
            <w:hideMark/>
          </w:tcPr>
          <w:p w14:paraId="72C93A65" w14:textId="77777777" w:rsidR="00AB6725" w:rsidRPr="00AB6725" w:rsidRDefault="00AB6725" w:rsidP="00AB6725">
            <w:pPr>
              <w:jc w:val="right"/>
              <w:rPr>
                <w:rFonts w:cs="Arial"/>
                <w:color w:val="0070C0"/>
                <w:sz w:val="18"/>
                <w:szCs w:val="18"/>
              </w:rPr>
            </w:pPr>
            <w:r w:rsidRPr="00AB6725">
              <w:rPr>
                <w:rFonts w:cs="Arial"/>
                <w:color w:val="000000"/>
                <w:sz w:val="18"/>
                <w:szCs w:val="18"/>
              </w:rPr>
              <w:t>-15,670</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2CD21713" w14:textId="77777777" w:rsidR="00AB6725" w:rsidRPr="00AB6725" w:rsidRDefault="00AB6725" w:rsidP="00AB6725">
            <w:pPr>
              <w:jc w:val="right"/>
              <w:rPr>
                <w:rFonts w:cs="Arial"/>
                <w:color w:val="0070C0"/>
                <w:sz w:val="18"/>
                <w:szCs w:val="18"/>
              </w:rPr>
            </w:pPr>
            <w:r w:rsidRPr="00AB6725">
              <w:rPr>
                <w:rFonts w:cs="Arial"/>
                <w:color w:val="000000"/>
                <w:sz w:val="18"/>
                <w:szCs w:val="18"/>
              </w:rPr>
              <w:t>-13,880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2CBFA6A" w14:textId="77777777" w:rsidR="00AB6725" w:rsidRPr="00AB6725" w:rsidRDefault="00AB6725" w:rsidP="00AB6725">
            <w:pPr>
              <w:jc w:val="right"/>
              <w:rPr>
                <w:rFonts w:cs="Arial"/>
                <w:color w:val="0070C0"/>
                <w:sz w:val="18"/>
                <w:szCs w:val="18"/>
              </w:rPr>
            </w:pPr>
            <w:r w:rsidRPr="00AB6725">
              <w:rPr>
                <w:rFonts w:cs="Arial"/>
                <w:color w:val="000000"/>
                <w:sz w:val="18"/>
                <w:szCs w:val="18"/>
              </w:rPr>
              <w:t>-13,491</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36526510" w14:textId="77777777" w:rsidR="00AB6725" w:rsidRPr="00AB6725" w:rsidRDefault="00AB6725" w:rsidP="00AB6725">
            <w:pPr>
              <w:jc w:val="right"/>
              <w:rPr>
                <w:rFonts w:cs="Arial"/>
                <w:color w:val="0070C0"/>
                <w:sz w:val="18"/>
                <w:szCs w:val="18"/>
              </w:rPr>
            </w:pPr>
            <w:r w:rsidRPr="00AB6725">
              <w:rPr>
                <w:rFonts w:cs="Arial"/>
                <w:color w:val="000000"/>
                <w:sz w:val="18"/>
                <w:szCs w:val="18"/>
              </w:rPr>
              <w:t>-194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FBE54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-43,234</w:t>
            </w:r>
          </w:p>
        </w:tc>
        <w:tc>
          <w:tcPr>
            <w:tcW w:w="1417" w:type="dxa"/>
            <w:tcBorders>
              <w:top w:val="nil"/>
              <w:left w:val="nil"/>
              <w:bottom w:val="single" w:sz="4" w:space="0" w:color="auto"/>
              <w:right w:val="single" w:sz="4" w:space="0" w:color="auto"/>
            </w:tcBorders>
            <w:shd w:val="clear" w:color="auto" w:fill="auto"/>
            <w:noWrap/>
            <w:vAlign w:val="center"/>
            <w:hideMark/>
          </w:tcPr>
          <w:p w14:paraId="07971C00" w14:textId="77777777" w:rsidR="00AB6725" w:rsidRPr="00AB6725" w:rsidRDefault="00AB6725" w:rsidP="00AB6725">
            <w:pPr>
              <w:jc w:val="right"/>
              <w:rPr>
                <w:rFonts w:cs="Arial"/>
                <w:color w:val="0070C0"/>
                <w:sz w:val="18"/>
                <w:szCs w:val="18"/>
              </w:rPr>
            </w:pPr>
            <w:r w:rsidRPr="00AB6725">
              <w:rPr>
                <w:rFonts w:cs="Arial"/>
                <w:color w:val="000000"/>
                <w:sz w:val="18"/>
                <w:szCs w:val="18"/>
              </w:rPr>
              <w:t>-8,211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B19EB9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408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C70C80B" w14:textId="77777777" w:rsidR="00AB6725" w:rsidRPr="00AB6725" w:rsidRDefault="00AB6725" w:rsidP="00AB6725">
            <w:pPr>
              <w:jc w:val="right"/>
              <w:rPr>
                <w:rFonts w:cs="Arial"/>
                <w:color w:val="0070C0"/>
                <w:sz w:val="18"/>
                <w:szCs w:val="18"/>
              </w:rPr>
            </w:pPr>
            <w:r w:rsidRPr="00AB6725">
              <w:rPr>
                <w:rFonts w:cs="Arial"/>
                <w:color w:val="000000"/>
                <w:sz w:val="18"/>
                <w:szCs w:val="18"/>
              </w:rPr>
              <w:t>30,798</w:t>
            </w:r>
          </w:p>
        </w:tc>
        <w:tc>
          <w:tcPr>
            <w:tcW w:w="1134" w:type="dxa"/>
            <w:tcBorders>
              <w:top w:val="nil"/>
              <w:left w:val="nil"/>
              <w:bottom w:val="single" w:sz="4" w:space="0" w:color="auto"/>
              <w:right w:val="single" w:sz="4" w:space="0" w:color="auto"/>
            </w:tcBorders>
            <w:shd w:val="clear" w:color="auto" w:fill="auto"/>
            <w:noWrap/>
            <w:vAlign w:val="center"/>
          </w:tcPr>
          <w:p w14:paraId="4DB717F3"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31,205</w:t>
            </w:r>
          </w:p>
        </w:tc>
      </w:tr>
      <w:tr w:rsidR="00AB6725" w:rsidRPr="00AB6725" w14:paraId="3742EB39"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7662114" w14:textId="77777777" w:rsidR="00AB6725" w:rsidRPr="00AB6725" w:rsidRDefault="00AB6725" w:rsidP="00AB6725">
            <w:pPr>
              <w:jc w:val="right"/>
              <w:rPr>
                <w:rFonts w:cs="Arial"/>
                <w:color w:val="0070C0"/>
                <w:sz w:val="18"/>
                <w:szCs w:val="18"/>
              </w:rPr>
            </w:pPr>
            <w:r w:rsidRPr="00AB6725">
              <w:rPr>
                <w:rFonts w:cs="Arial"/>
                <w:sz w:val="18"/>
                <w:szCs w:val="18"/>
              </w:rPr>
              <w:t>2040.41</w:t>
            </w:r>
          </w:p>
        </w:tc>
        <w:tc>
          <w:tcPr>
            <w:tcW w:w="1059" w:type="dxa"/>
            <w:tcBorders>
              <w:top w:val="nil"/>
              <w:left w:val="nil"/>
              <w:bottom w:val="single" w:sz="4" w:space="0" w:color="auto"/>
              <w:right w:val="single" w:sz="4" w:space="0" w:color="auto"/>
            </w:tcBorders>
            <w:shd w:val="clear" w:color="auto" w:fill="auto"/>
            <w:noWrap/>
            <w:vAlign w:val="center"/>
            <w:hideMark/>
          </w:tcPr>
          <w:p w14:paraId="140FC7CC" w14:textId="77777777" w:rsidR="00AB6725" w:rsidRPr="00AB6725" w:rsidRDefault="00AB6725" w:rsidP="00AB6725">
            <w:pPr>
              <w:jc w:val="right"/>
              <w:rPr>
                <w:rFonts w:cs="Arial"/>
                <w:color w:val="0070C0"/>
                <w:sz w:val="18"/>
                <w:szCs w:val="18"/>
              </w:rPr>
            </w:pPr>
            <w:r w:rsidRPr="00AB6725">
              <w:rPr>
                <w:rFonts w:cs="Arial"/>
                <w:color w:val="000000"/>
                <w:sz w:val="18"/>
                <w:szCs w:val="18"/>
              </w:rPr>
              <w:t>48,102</w:t>
            </w:r>
          </w:p>
        </w:tc>
        <w:tc>
          <w:tcPr>
            <w:tcW w:w="992" w:type="dxa"/>
            <w:tcBorders>
              <w:top w:val="nil"/>
              <w:left w:val="nil"/>
              <w:bottom w:val="single" w:sz="4" w:space="0" w:color="auto"/>
              <w:right w:val="single" w:sz="4" w:space="0" w:color="auto"/>
            </w:tcBorders>
            <w:shd w:val="clear" w:color="auto" w:fill="auto"/>
            <w:noWrap/>
            <w:vAlign w:val="center"/>
            <w:hideMark/>
          </w:tcPr>
          <w:p w14:paraId="3C70942F" w14:textId="77777777" w:rsidR="00AB6725" w:rsidRPr="00AB6725" w:rsidRDefault="00AB6725" w:rsidP="00AB6725">
            <w:pPr>
              <w:jc w:val="right"/>
              <w:rPr>
                <w:rFonts w:cs="Arial"/>
                <w:color w:val="0070C0"/>
                <w:sz w:val="18"/>
                <w:szCs w:val="18"/>
              </w:rPr>
            </w:pPr>
            <w:r w:rsidRPr="00AB6725">
              <w:rPr>
                <w:rFonts w:cs="Arial"/>
                <w:color w:val="000000"/>
                <w:sz w:val="18"/>
                <w:szCs w:val="18"/>
              </w:rPr>
              <w:t>4,600</w:t>
            </w:r>
          </w:p>
        </w:tc>
        <w:tc>
          <w:tcPr>
            <w:tcW w:w="992" w:type="dxa"/>
            <w:tcBorders>
              <w:top w:val="nil"/>
              <w:left w:val="nil"/>
              <w:bottom w:val="single" w:sz="4" w:space="0" w:color="auto"/>
              <w:right w:val="single" w:sz="4" w:space="0" w:color="auto"/>
            </w:tcBorders>
            <w:shd w:val="clear" w:color="auto" w:fill="auto"/>
            <w:noWrap/>
            <w:vAlign w:val="center"/>
            <w:hideMark/>
          </w:tcPr>
          <w:p w14:paraId="45F195F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52,702</w:t>
            </w:r>
          </w:p>
        </w:tc>
        <w:tc>
          <w:tcPr>
            <w:tcW w:w="1103" w:type="dxa"/>
            <w:tcBorders>
              <w:top w:val="nil"/>
              <w:left w:val="nil"/>
              <w:bottom w:val="single" w:sz="4" w:space="0" w:color="auto"/>
              <w:right w:val="single" w:sz="4" w:space="0" w:color="auto"/>
            </w:tcBorders>
            <w:shd w:val="clear" w:color="auto" w:fill="auto"/>
            <w:noWrap/>
            <w:vAlign w:val="center"/>
            <w:hideMark/>
          </w:tcPr>
          <w:p w14:paraId="6012AB66" w14:textId="77777777" w:rsidR="00AB6725" w:rsidRPr="00AB6725" w:rsidRDefault="00AB6725" w:rsidP="00AB6725">
            <w:pPr>
              <w:jc w:val="right"/>
              <w:rPr>
                <w:rFonts w:cs="Arial"/>
                <w:color w:val="0070C0"/>
                <w:sz w:val="18"/>
                <w:szCs w:val="18"/>
              </w:rPr>
            </w:pPr>
            <w:r w:rsidRPr="00AB6725">
              <w:rPr>
                <w:rFonts w:cs="Arial"/>
                <w:color w:val="000000"/>
                <w:sz w:val="18"/>
                <w:szCs w:val="18"/>
              </w:rPr>
              <w:t>-15,983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47464843" w14:textId="77777777" w:rsidR="00AB6725" w:rsidRPr="00AB6725" w:rsidRDefault="00AB6725" w:rsidP="00AB6725">
            <w:pPr>
              <w:jc w:val="right"/>
              <w:rPr>
                <w:rFonts w:cs="Arial"/>
                <w:color w:val="0070C0"/>
                <w:sz w:val="18"/>
                <w:szCs w:val="18"/>
              </w:rPr>
            </w:pPr>
            <w:r w:rsidRPr="00AB6725">
              <w:rPr>
                <w:rFonts w:cs="Arial"/>
                <w:color w:val="000000"/>
                <w:sz w:val="18"/>
                <w:szCs w:val="18"/>
              </w:rPr>
              <w:t>-14,227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E4F14DE" w14:textId="77777777" w:rsidR="00AB6725" w:rsidRPr="00AB6725" w:rsidRDefault="00AB6725" w:rsidP="00AB6725">
            <w:pPr>
              <w:jc w:val="right"/>
              <w:rPr>
                <w:rFonts w:cs="Arial"/>
                <w:color w:val="0070C0"/>
                <w:sz w:val="18"/>
                <w:szCs w:val="18"/>
              </w:rPr>
            </w:pPr>
            <w:r w:rsidRPr="00AB6725">
              <w:rPr>
                <w:rFonts w:cs="Arial"/>
                <w:color w:val="000000"/>
                <w:sz w:val="18"/>
                <w:szCs w:val="18"/>
              </w:rPr>
              <w:t>-13,862</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6AE08361" w14:textId="77777777" w:rsidR="00AB6725" w:rsidRPr="00AB6725" w:rsidRDefault="00AB6725" w:rsidP="00AB6725">
            <w:pPr>
              <w:jc w:val="right"/>
              <w:rPr>
                <w:rFonts w:cs="Arial"/>
                <w:color w:val="0070C0"/>
                <w:sz w:val="18"/>
                <w:szCs w:val="18"/>
              </w:rPr>
            </w:pPr>
            <w:r w:rsidRPr="00AB6725">
              <w:rPr>
                <w:rFonts w:cs="Arial"/>
                <w:color w:val="000000"/>
                <w:sz w:val="18"/>
                <w:szCs w:val="18"/>
              </w:rPr>
              <w:t>-198</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21D0E7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-44,271</w:t>
            </w:r>
          </w:p>
        </w:tc>
        <w:tc>
          <w:tcPr>
            <w:tcW w:w="1417" w:type="dxa"/>
            <w:tcBorders>
              <w:top w:val="nil"/>
              <w:left w:val="nil"/>
              <w:bottom w:val="single" w:sz="4" w:space="0" w:color="auto"/>
              <w:right w:val="single" w:sz="4" w:space="0" w:color="auto"/>
            </w:tcBorders>
            <w:shd w:val="clear" w:color="auto" w:fill="auto"/>
            <w:noWrap/>
            <w:vAlign w:val="center"/>
            <w:hideMark/>
          </w:tcPr>
          <w:p w14:paraId="6FC07FD5" w14:textId="77777777" w:rsidR="00AB6725" w:rsidRPr="00AB6725" w:rsidRDefault="00AB6725" w:rsidP="00AB6725">
            <w:pPr>
              <w:jc w:val="right"/>
              <w:rPr>
                <w:rFonts w:cs="Arial"/>
                <w:color w:val="0070C0"/>
                <w:sz w:val="18"/>
                <w:szCs w:val="18"/>
              </w:rPr>
            </w:pPr>
            <w:r w:rsidRPr="00AB6725">
              <w:rPr>
                <w:rFonts w:cs="Arial"/>
                <w:color w:val="000000"/>
                <w:sz w:val="18"/>
                <w:szCs w:val="18"/>
              </w:rPr>
              <w:t>-8,209</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6F50CB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222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1F55F2F" w14:textId="77777777" w:rsidR="00AB6725" w:rsidRPr="00AB6725" w:rsidRDefault="00AB6725" w:rsidP="00AB6725">
            <w:pPr>
              <w:jc w:val="right"/>
              <w:rPr>
                <w:rFonts w:cs="Arial"/>
                <w:color w:val="0070C0"/>
                <w:sz w:val="18"/>
                <w:szCs w:val="18"/>
              </w:rPr>
            </w:pPr>
            <w:r w:rsidRPr="00AB6725">
              <w:rPr>
                <w:rFonts w:cs="Arial"/>
                <w:color w:val="000000"/>
                <w:sz w:val="18"/>
                <w:szCs w:val="18"/>
              </w:rPr>
              <w:t>31,205</w:t>
            </w:r>
          </w:p>
        </w:tc>
        <w:tc>
          <w:tcPr>
            <w:tcW w:w="1134" w:type="dxa"/>
            <w:tcBorders>
              <w:top w:val="nil"/>
              <w:left w:val="nil"/>
              <w:bottom w:val="single" w:sz="4" w:space="0" w:color="auto"/>
              <w:right w:val="single" w:sz="4" w:space="0" w:color="auto"/>
            </w:tcBorders>
            <w:shd w:val="clear" w:color="auto" w:fill="auto"/>
            <w:noWrap/>
            <w:vAlign w:val="center"/>
          </w:tcPr>
          <w:p w14:paraId="7D51695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31,427</w:t>
            </w:r>
          </w:p>
        </w:tc>
      </w:tr>
      <w:tr w:rsidR="00AB6725" w:rsidRPr="00AB6725" w14:paraId="0A43AF01"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D46C19A" w14:textId="77777777" w:rsidR="00AB6725" w:rsidRPr="00AB6725" w:rsidRDefault="00AB6725" w:rsidP="00AB6725">
            <w:pPr>
              <w:jc w:val="right"/>
              <w:rPr>
                <w:rFonts w:cs="Arial"/>
                <w:color w:val="0070C0"/>
                <w:sz w:val="18"/>
                <w:szCs w:val="18"/>
              </w:rPr>
            </w:pPr>
            <w:r w:rsidRPr="00AB6725">
              <w:rPr>
                <w:rFonts w:cs="Arial"/>
                <w:sz w:val="18"/>
                <w:szCs w:val="18"/>
              </w:rPr>
              <w:t>2041.42</w:t>
            </w:r>
          </w:p>
        </w:tc>
        <w:tc>
          <w:tcPr>
            <w:tcW w:w="1059" w:type="dxa"/>
            <w:tcBorders>
              <w:top w:val="nil"/>
              <w:left w:val="nil"/>
              <w:bottom w:val="single" w:sz="4" w:space="0" w:color="auto"/>
              <w:right w:val="single" w:sz="4" w:space="0" w:color="auto"/>
            </w:tcBorders>
            <w:shd w:val="clear" w:color="auto" w:fill="auto"/>
            <w:noWrap/>
            <w:vAlign w:val="center"/>
            <w:hideMark/>
          </w:tcPr>
          <w:p w14:paraId="3E7DE6E5" w14:textId="77777777" w:rsidR="00AB6725" w:rsidRPr="00AB6725" w:rsidRDefault="00AB6725" w:rsidP="00AB6725">
            <w:pPr>
              <w:jc w:val="right"/>
              <w:rPr>
                <w:rFonts w:cs="Arial"/>
                <w:color w:val="0070C0"/>
                <w:sz w:val="18"/>
                <w:szCs w:val="18"/>
              </w:rPr>
            </w:pPr>
            <w:r w:rsidRPr="00AB6725">
              <w:rPr>
                <w:rFonts w:cs="Arial"/>
                <w:color w:val="000000"/>
                <w:sz w:val="18"/>
                <w:szCs w:val="18"/>
              </w:rPr>
              <w:t>49,816</w:t>
            </w:r>
          </w:p>
        </w:tc>
        <w:tc>
          <w:tcPr>
            <w:tcW w:w="992" w:type="dxa"/>
            <w:tcBorders>
              <w:top w:val="nil"/>
              <w:left w:val="nil"/>
              <w:bottom w:val="single" w:sz="4" w:space="0" w:color="auto"/>
              <w:right w:val="single" w:sz="4" w:space="0" w:color="auto"/>
            </w:tcBorders>
            <w:shd w:val="clear" w:color="auto" w:fill="auto"/>
            <w:noWrap/>
            <w:vAlign w:val="center"/>
            <w:hideMark/>
          </w:tcPr>
          <w:p w14:paraId="7F0FB0A3" w14:textId="77777777" w:rsidR="00AB6725" w:rsidRPr="00AB6725" w:rsidRDefault="00AB6725" w:rsidP="00AB6725">
            <w:pPr>
              <w:jc w:val="right"/>
              <w:rPr>
                <w:rFonts w:cs="Arial"/>
                <w:color w:val="0070C0"/>
                <w:sz w:val="18"/>
                <w:szCs w:val="18"/>
              </w:rPr>
            </w:pPr>
            <w:r w:rsidRPr="00AB6725">
              <w:rPr>
                <w:rFonts w:cs="Arial"/>
                <w:color w:val="000000"/>
                <w:sz w:val="18"/>
                <w:szCs w:val="18"/>
              </w:rPr>
              <w:t>4,689</w:t>
            </w:r>
          </w:p>
        </w:tc>
        <w:tc>
          <w:tcPr>
            <w:tcW w:w="992" w:type="dxa"/>
            <w:tcBorders>
              <w:top w:val="nil"/>
              <w:left w:val="nil"/>
              <w:bottom w:val="single" w:sz="4" w:space="0" w:color="auto"/>
              <w:right w:val="single" w:sz="4" w:space="0" w:color="auto"/>
            </w:tcBorders>
            <w:shd w:val="clear" w:color="auto" w:fill="auto"/>
            <w:noWrap/>
            <w:vAlign w:val="center"/>
            <w:hideMark/>
          </w:tcPr>
          <w:p w14:paraId="17F8481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54,505</w:t>
            </w:r>
          </w:p>
        </w:tc>
        <w:tc>
          <w:tcPr>
            <w:tcW w:w="1103" w:type="dxa"/>
            <w:tcBorders>
              <w:top w:val="nil"/>
              <w:left w:val="nil"/>
              <w:bottom w:val="single" w:sz="4" w:space="0" w:color="auto"/>
              <w:right w:val="single" w:sz="4" w:space="0" w:color="auto"/>
            </w:tcBorders>
            <w:shd w:val="clear" w:color="auto" w:fill="auto"/>
            <w:noWrap/>
            <w:vAlign w:val="center"/>
            <w:hideMark/>
          </w:tcPr>
          <w:p w14:paraId="2AF1688D" w14:textId="77777777" w:rsidR="00AB6725" w:rsidRPr="00AB6725" w:rsidRDefault="00AB6725" w:rsidP="00AB6725">
            <w:pPr>
              <w:jc w:val="right"/>
              <w:rPr>
                <w:rFonts w:cs="Arial"/>
                <w:color w:val="0070C0"/>
                <w:sz w:val="18"/>
                <w:szCs w:val="18"/>
              </w:rPr>
            </w:pPr>
            <w:r w:rsidRPr="00AB6725">
              <w:rPr>
                <w:rFonts w:cs="Arial"/>
                <w:color w:val="000000"/>
                <w:sz w:val="18"/>
                <w:szCs w:val="18"/>
              </w:rPr>
              <w:t>-16,303</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0A44C1CB" w14:textId="77777777" w:rsidR="00AB6725" w:rsidRPr="00AB6725" w:rsidRDefault="00AB6725" w:rsidP="00AB6725">
            <w:pPr>
              <w:jc w:val="right"/>
              <w:rPr>
                <w:rFonts w:cs="Arial"/>
                <w:color w:val="0070C0"/>
                <w:sz w:val="18"/>
                <w:szCs w:val="18"/>
              </w:rPr>
            </w:pPr>
            <w:r w:rsidRPr="00AB6725">
              <w:rPr>
                <w:rFonts w:cs="Arial"/>
                <w:color w:val="000000"/>
                <w:sz w:val="18"/>
                <w:szCs w:val="18"/>
              </w:rPr>
              <w:t>-14,583</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ACB30B0" w14:textId="77777777" w:rsidR="00AB6725" w:rsidRPr="00AB6725" w:rsidRDefault="00AB6725" w:rsidP="00AB6725">
            <w:pPr>
              <w:jc w:val="right"/>
              <w:rPr>
                <w:rFonts w:cs="Arial"/>
                <w:color w:val="0070C0"/>
                <w:sz w:val="18"/>
                <w:szCs w:val="18"/>
              </w:rPr>
            </w:pPr>
            <w:r w:rsidRPr="00AB6725">
              <w:rPr>
                <w:rFonts w:cs="Arial"/>
                <w:color w:val="000000"/>
                <w:sz w:val="18"/>
                <w:szCs w:val="18"/>
              </w:rPr>
              <w:t>-14,244</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30177C4C" w14:textId="77777777" w:rsidR="00AB6725" w:rsidRPr="00AB6725" w:rsidRDefault="00AB6725" w:rsidP="00AB6725">
            <w:pPr>
              <w:jc w:val="right"/>
              <w:rPr>
                <w:rFonts w:cs="Arial"/>
                <w:color w:val="0070C0"/>
                <w:sz w:val="18"/>
                <w:szCs w:val="18"/>
              </w:rPr>
            </w:pPr>
            <w:r w:rsidRPr="00AB6725">
              <w:rPr>
                <w:rFonts w:cs="Arial"/>
                <w:color w:val="000000"/>
                <w:sz w:val="18"/>
                <w:szCs w:val="18"/>
              </w:rPr>
              <w:t>-202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008377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-45,332</w:t>
            </w:r>
          </w:p>
        </w:tc>
        <w:tc>
          <w:tcPr>
            <w:tcW w:w="1417" w:type="dxa"/>
            <w:tcBorders>
              <w:top w:val="nil"/>
              <w:left w:val="nil"/>
              <w:bottom w:val="single" w:sz="4" w:space="0" w:color="auto"/>
              <w:right w:val="single" w:sz="4" w:space="0" w:color="auto"/>
            </w:tcBorders>
            <w:shd w:val="clear" w:color="auto" w:fill="auto"/>
            <w:noWrap/>
            <w:vAlign w:val="center"/>
            <w:hideMark/>
          </w:tcPr>
          <w:p w14:paraId="2644B17D" w14:textId="77777777" w:rsidR="00AB6725" w:rsidRPr="00AB6725" w:rsidRDefault="00AB6725" w:rsidP="00AB6725">
            <w:pPr>
              <w:jc w:val="right"/>
              <w:rPr>
                <w:rFonts w:cs="Arial"/>
                <w:color w:val="0070C0"/>
                <w:sz w:val="18"/>
                <w:szCs w:val="18"/>
              </w:rPr>
            </w:pPr>
            <w:r w:rsidRPr="00AB6725">
              <w:rPr>
                <w:rFonts w:cs="Arial"/>
                <w:color w:val="000000"/>
                <w:sz w:val="18"/>
                <w:szCs w:val="18"/>
              </w:rPr>
              <w:t>-8,207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459D96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966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5F6522E" w14:textId="77777777" w:rsidR="00AB6725" w:rsidRPr="00AB6725" w:rsidRDefault="00AB6725" w:rsidP="00AB6725">
            <w:pPr>
              <w:jc w:val="right"/>
              <w:rPr>
                <w:rFonts w:cs="Arial"/>
                <w:color w:val="0070C0"/>
                <w:sz w:val="18"/>
                <w:szCs w:val="18"/>
              </w:rPr>
            </w:pPr>
            <w:r w:rsidRPr="00AB6725">
              <w:rPr>
                <w:rFonts w:cs="Arial"/>
                <w:color w:val="000000"/>
                <w:sz w:val="18"/>
                <w:szCs w:val="18"/>
              </w:rPr>
              <w:t>31,427</w:t>
            </w:r>
          </w:p>
        </w:tc>
        <w:tc>
          <w:tcPr>
            <w:tcW w:w="1134" w:type="dxa"/>
            <w:tcBorders>
              <w:top w:val="nil"/>
              <w:left w:val="nil"/>
              <w:bottom w:val="single" w:sz="4" w:space="0" w:color="auto"/>
              <w:right w:val="single" w:sz="4" w:space="0" w:color="auto"/>
            </w:tcBorders>
            <w:shd w:val="clear" w:color="auto" w:fill="auto"/>
            <w:noWrap/>
            <w:vAlign w:val="center"/>
          </w:tcPr>
          <w:p w14:paraId="05BBA20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32,393</w:t>
            </w:r>
          </w:p>
        </w:tc>
      </w:tr>
      <w:tr w:rsidR="00AB6725" w:rsidRPr="00AB6725" w14:paraId="37900A32"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619D5F46" w14:textId="77777777" w:rsidR="00AB6725" w:rsidRPr="00AB6725" w:rsidRDefault="00AB6725" w:rsidP="00AB6725">
            <w:pPr>
              <w:jc w:val="right"/>
              <w:rPr>
                <w:rFonts w:cs="Arial"/>
                <w:color w:val="0070C0"/>
                <w:sz w:val="18"/>
                <w:szCs w:val="18"/>
              </w:rPr>
            </w:pPr>
            <w:r w:rsidRPr="00AB6725">
              <w:rPr>
                <w:rFonts w:cs="Arial"/>
                <w:sz w:val="18"/>
                <w:szCs w:val="18"/>
              </w:rPr>
              <w:t>2042.43</w:t>
            </w:r>
          </w:p>
        </w:tc>
        <w:tc>
          <w:tcPr>
            <w:tcW w:w="1059" w:type="dxa"/>
            <w:tcBorders>
              <w:top w:val="nil"/>
              <w:left w:val="nil"/>
              <w:bottom w:val="single" w:sz="4" w:space="0" w:color="auto"/>
              <w:right w:val="single" w:sz="4" w:space="0" w:color="auto"/>
            </w:tcBorders>
            <w:shd w:val="clear" w:color="auto" w:fill="auto"/>
            <w:noWrap/>
            <w:vAlign w:val="center"/>
            <w:hideMark/>
          </w:tcPr>
          <w:p w14:paraId="6D5CFD2F" w14:textId="77777777" w:rsidR="00AB6725" w:rsidRPr="00AB6725" w:rsidRDefault="00AB6725" w:rsidP="00AB6725">
            <w:pPr>
              <w:jc w:val="right"/>
              <w:rPr>
                <w:rFonts w:cs="Arial"/>
                <w:color w:val="0070C0"/>
                <w:sz w:val="18"/>
                <w:szCs w:val="18"/>
              </w:rPr>
            </w:pPr>
            <w:r w:rsidRPr="00AB6725">
              <w:rPr>
                <w:rFonts w:cs="Arial"/>
                <w:color w:val="000000"/>
                <w:sz w:val="18"/>
                <w:szCs w:val="18"/>
              </w:rPr>
              <w:t>49,662</w:t>
            </w:r>
          </w:p>
        </w:tc>
        <w:tc>
          <w:tcPr>
            <w:tcW w:w="992" w:type="dxa"/>
            <w:tcBorders>
              <w:top w:val="nil"/>
              <w:left w:val="nil"/>
              <w:bottom w:val="single" w:sz="4" w:space="0" w:color="auto"/>
              <w:right w:val="single" w:sz="4" w:space="0" w:color="auto"/>
            </w:tcBorders>
            <w:shd w:val="clear" w:color="auto" w:fill="auto"/>
            <w:noWrap/>
            <w:vAlign w:val="center"/>
            <w:hideMark/>
          </w:tcPr>
          <w:p w14:paraId="2369DE79" w14:textId="77777777" w:rsidR="00AB6725" w:rsidRPr="00AB6725" w:rsidRDefault="00AB6725" w:rsidP="00AB6725">
            <w:pPr>
              <w:jc w:val="right"/>
              <w:rPr>
                <w:rFonts w:cs="Arial"/>
                <w:color w:val="0070C0"/>
                <w:sz w:val="18"/>
                <w:szCs w:val="18"/>
              </w:rPr>
            </w:pPr>
            <w:r w:rsidRPr="00AB6725">
              <w:rPr>
                <w:rFonts w:cs="Arial"/>
                <w:color w:val="000000"/>
                <w:sz w:val="18"/>
                <w:szCs w:val="18"/>
              </w:rPr>
              <w:t>4,781</w:t>
            </w:r>
          </w:p>
        </w:tc>
        <w:tc>
          <w:tcPr>
            <w:tcW w:w="992" w:type="dxa"/>
            <w:tcBorders>
              <w:top w:val="nil"/>
              <w:left w:val="nil"/>
              <w:bottom w:val="single" w:sz="4" w:space="0" w:color="auto"/>
              <w:right w:val="single" w:sz="4" w:space="0" w:color="auto"/>
            </w:tcBorders>
            <w:shd w:val="clear" w:color="auto" w:fill="auto"/>
            <w:noWrap/>
            <w:vAlign w:val="center"/>
            <w:hideMark/>
          </w:tcPr>
          <w:p w14:paraId="2F889F1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54,443</w:t>
            </w:r>
          </w:p>
        </w:tc>
        <w:tc>
          <w:tcPr>
            <w:tcW w:w="1103" w:type="dxa"/>
            <w:tcBorders>
              <w:top w:val="nil"/>
              <w:left w:val="nil"/>
              <w:bottom w:val="single" w:sz="4" w:space="0" w:color="auto"/>
              <w:right w:val="single" w:sz="4" w:space="0" w:color="auto"/>
            </w:tcBorders>
            <w:shd w:val="clear" w:color="auto" w:fill="auto"/>
            <w:noWrap/>
            <w:vAlign w:val="center"/>
            <w:hideMark/>
          </w:tcPr>
          <w:p w14:paraId="274C6570" w14:textId="77777777" w:rsidR="00AB6725" w:rsidRPr="00AB6725" w:rsidRDefault="00AB6725" w:rsidP="00AB6725">
            <w:pPr>
              <w:jc w:val="right"/>
              <w:rPr>
                <w:rFonts w:cs="Arial"/>
                <w:color w:val="0070C0"/>
                <w:sz w:val="18"/>
                <w:szCs w:val="18"/>
              </w:rPr>
            </w:pPr>
            <w:r w:rsidRPr="00AB6725">
              <w:rPr>
                <w:rFonts w:cs="Arial"/>
                <w:color w:val="000000"/>
                <w:sz w:val="18"/>
                <w:szCs w:val="18"/>
              </w:rPr>
              <w:t>-16,629</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38DC4DFC" w14:textId="77777777" w:rsidR="00AB6725" w:rsidRPr="00AB6725" w:rsidRDefault="00AB6725" w:rsidP="00AB6725">
            <w:pPr>
              <w:jc w:val="right"/>
              <w:rPr>
                <w:rFonts w:cs="Arial"/>
                <w:color w:val="0070C0"/>
                <w:sz w:val="18"/>
                <w:szCs w:val="18"/>
              </w:rPr>
            </w:pPr>
            <w:r w:rsidRPr="00AB6725">
              <w:rPr>
                <w:rFonts w:cs="Arial"/>
                <w:color w:val="000000"/>
                <w:sz w:val="18"/>
                <w:szCs w:val="18"/>
              </w:rPr>
              <w:t>-14,948</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6A87D48" w14:textId="77777777" w:rsidR="00AB6725" w:rsidRPr="00AB6725" w:rsidRDefault="00AB6725" w:rsidP="00AB6725">
            <w:pPr>
              <w:jc w:val="right"/>
              <w:rPr>
                <w:rFonts w:cs="Arial"/>
                <w:color w:val="0070C0"/>
                <w:sz w:val="18"/>
                <w:szCs w:val="18"/>
              </w:rPr>
            </w:pPr>
            <w:r w:rsidRPr="00AB6725">
              <w:rPr>
                <w:rFonts w:cs="Arial"/>
                <w:color w:val="000000"/>
                <w:sz w:val="18"/>
                <w:szCs w:val="18"/>
              </w:rPr>
              <w:t>-14,636</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38DB30F6" w14:textId="77777777" w:rsidR="00AB6725" w:rsidRPr="00AB6725" w:rsidRDefault="00AB6725" w:rsidP="00AB6725">
            <w:pPr>
              <w:jc w:val="right"/>
              <w:rPr>
                <w:rFonts w:cs="Arial"/>
                <w:color w:val="0070C0"/>
                <w:sz w:val="18"/>
                <w:szCs w:val="18"/>
              </w:rPr>
            </w:pPr>
            <w:r w:rsidRPr="00AB6725">
              <w:rPr>
                <w:rFonts w:cs="Arial"/>
                <w:color w:val="000000"/>
                <w:sz w:val="18"/>
                <w:szCs w:val="18"/>
              </w:rPr>
              <w:t>-206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F2264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-46,419</w:t>
            </w:r>
          </w:p>
        </w:tc>
        <w:tc>
          <w:tcPr>
            <w:tcW w:w="1417" w:type="dxa"/>
            <w:tcBorders>
              <w:top w:val="nil"/>
              <w:left w:val="nil"/>
              <w:bottom w:val="single" w:sz="4" w:space="0" w:color="auto"/>
              <w:right w:val="single" w:sz="4" w:space="0" w:color="auto"/>
            </w:tcBorders>
            <w:shd w:val="clear" w:color="auto" w:fill="auto"/>
            <w:noWrap/>
            <w:vAlign w:val="center"/>
            <w:hideMark/>
          </w:tcPr>
          <w:p w14:paraId="23B46F7B" w14:textId="77777777" w:rsidR="00AB6725" w:rsidRPr="00AB6725" w:rsidRDefault="00AB6725" w:rsidP="00AB6725">
            <w:pPr>
              <w:jc w:val="right"/>
              <w:rPr>
                <w:rFonts w:cs="Arial"/>
                <w:color w:val="0070C0"/>
                <w:sz w:val="18"/>
                <w:szCs w:val="18"/>
              </w:rPr>
            </w:pPr>
            <w:r w:rsidRPr="00AB6725">
              <w:rPr>
                <w:rFonts w:cs="Arial"/>
                <w:color w:val="000000"/>
                <w:sz w:val="18"/>
                <w:szCs w:val="18"/>
              </w:rPr>
              <w:t>-8,206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C257FC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5A4A534" w14:textId="77777777" w:rsidR="00AB6725" w:rsidRPr="00AB6725" w:rsidRDefault="00AB6725" w:rsidP="00AB6725">
            <w:pPr>
              <w:jc w:val="right"/>
              <w:rPr>
                <w:rFonts w:cs="Arial"/>
                <w:color w:val="0070C0"/>
                <w:sz w:val="18"/>
                <w:szCs w:val="18"/>
              </w:rPr>
            </w:pPr>
            <w:r w:rsidRPr="00AB6725">
              <w:rPr>
                <w:rFonts w:cs="Arial"/>
                <w:color w:val="000000"/>
                <w:sz w:val="18"/>
                <w:szCs w:val="18"/>
              </w:rPr>
              <w:t>32,393</w:t>
            </w:r>
          </w:p>
        </w:tc>
        <w:tc>
          <w:tcPr>
            <w:tcW w:w="1134" w:type="dxa"/>
            <w:tcBorders>
              <w:top w:val="nil"/>
              <w:left w:val="nil"/>
              <w:bottom w:val="single" w:sz="4" w:space="0" w:color="auto"/>
              <w:right w:val="single" w:sz="4" w:space="0" w:color="auto"/>
            </w:tcBorders>
            <w:shd w:val="clear" w:color="auto" w:fill="auto"/>
            <w:noWrap/>
            <w:vAlign w:val="center"/>
          </w:tcPr>
          <w:p w14:paraId="38628B8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32,212</w:t>
            </w:r>
          </w:p>
        </w:tc>
      </w:tr>
      <w:tr w:rsidR="00AB6725" w:rsidRPr="00AB6725" w14:paraId="4AD20DD3"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BE3EA92" w14:textId="77777777" w:rsidR="00AB6725" w:rsidRPr="00AB6725" w:rsidRDefault="00AB6725" w:rsidP="00AB6725">
            <w:pPr>
              <w:jc w:val="right"/>
              <w:rPr>
                <w:rFonts w:cs="Arial"/>
                <w:color w:val="0070C0"/>
                <w:sz w:val="18"/>
                <w:szCs w:val="18"/>
              </w:rPr>
            </w:pPr>
            <w:r w:rsidRPr="00AB6725">
              <w:rPr>
                <w:rFonts w:cs="Arial"/>
                <w:sz w:val="18"/>
                <w:szCs w:val="18"/>
              </w:rPr>
              <w:t>2043.44</w:t>
            </w:r>
          </w:p>
        </w:tc>
        <w:tc>
          <w:tcPr>
            <w:tcW w:w="1059" w:type="dxa"/>
            <w:tcBorders>
              <w:top w:val="nil"/>
              <w:left w:val="nil"/>
              <w:bottom w:val="single" w:sz="4" w:space="0" w:color="auto"/>
              <w:right w:val="single" w:sz="4" w:space="0" w:color="auto"/>
            </w:tcBorders>
            <w:shd w:val="clear" w:color="auto" w:fill="auto"/>
            <w:noWrap/>
            <w:vAlign w:val="center"/>
            <w:hideMark/>
          </w:tcPr>
          <w:p w14:paraId="61AAA4AD" w14:textId="77777777" w:rsidR="00AB6725" w:rsidRPr="00AB6725" w:rsidRDefault="00AB6725" w:rsidP="00AB6725">
            <w:pPr>
              <w:jc w:val="right"/>
              <w:rPr>
                <w:rFonts w:cs="Arial"/>
                <w:color w:val="0070C0"/>
                <w:sz w:val="18"/>
                <w:szCs w:val="18"/>
              </w:rPr>
            </w:pPr>
            <w:r w:rsidRPr="00AB6725">
              <w:rPr>
                <w:rFonts w:cs="Arial"/>
                <w:color w:val="000000"/>
                <w:sz w:val="18"/>
                <w:szCs w:val="18"/>
              </w:rPr>
              <w:t>50,459</w:t>
            </w:r>
          </w:p>
        </w:tc>
        <w:tc>
          <w:tcPr>
            <w:tcW w:w="992" w:type="dxa"/>
            <w:tcBorders>
              <w:top w:val="nil"/>
              <w:left w:val="nil"/>
              <w:bottom w:val="single" w:sz="4" w:space="0" w:color="auto"/>
              <w:right w:val="single" w:sz="4" w:space="0" w:color="auto"/>
            </w:tcBorders>
            <w:shd w:val="clear" w:color="auto" w:fill="auto"/>
            <w:noWrap/>
            <w:vAlign w:val="center"/>
            <w:hideMark/>
          </w:tcPr>
          <w:p w14:paraId="6A7C5F2E" w14:textId="77777777" w:rsidR="00AB6725" w:rsidRPr="00AB6725" w:rsidRDefault="00AB6725" w:rsidP="00AB6725">
            <w:pPr>
              <w:jc w:val="right"/>
              <w:rPr>
                <w:rFonts w:cs="Arial"/>
                <w:color w:val="0070C0"/>
                <w:sz w:val="18"/>
                <w:szCs w:val="18"/>
              </w:rPr>
            </w:pPr>
            <w:r w:rsidRPr="00AB6725">
              <w:rPr>
                <w:rFonts w:cs="Arial"/>
                <w:color w:val="000000"/>
                <w:sz w:val="18"/>
                <w:szCs w:val="18"/>
              </w:rPr>
              <w:t>4,876</w:t>
            </w:r>
          </w:p>
        </w:tc>
        <w:tc>
          <w:tcPr>
            <w:tcW w:w="992" w:type="dxa"/>
            <w:tcBorders>
              <w:top w:val="nil"/>
              <w:left w:val="nil"/>
              <w:bottom w:val="single" w:sz="4" w:space="0" w:color="auto"/>
              <w:right w:val="single" w:sz="4" w:space="0" w:color="auto"/>
            </w:tcBorders>
            <w:shd w:val="clear" w:color="auto" w:fill="auto"/>
            <w:noWrap/>
            <w:vAlign w:val="center"/>
            <w:hideMark/>
          </w:tcPr>
          <w:p w14:paraId="405C5BD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55,335</w:t>
            </w:r>
          </w:p>
        </w:tc>
        <w:tc>
          <w:tcPr>
            <w:tcW w:w="1103" w:type="dxa"/>
            <w:tcBorders>
              <w:top w:val="nil"/>
              <w:left w:val="nil"/>
              <w:bottom w:val="single" w:sz="4" w:space="0" w:color="auto"/>
              <w:right w:val="single" w:sz="4" w:space="0" w:color="auto"/>
            </w:tcBorders>
            <w:shd w:val="clear" w:color="auto" w:fill="auto"/>
            <w:noWrap/>
            <w:vAlign w:val="center"/>
            <w:hideMark/>
          </w:tcPr>
          <w:p w14:paraId="323C8281" w14:textId="77777777" w:rsidR="00AB6725" w:rsidRPr="00AB6725" w:rsidRDefault="00AB6725" w:rsidP="00AB6725">
            <w:pPr>
              <w:jc w:val="right"/>
              <w:rPr>
                <w:rFonts w:cs="Arial"/>
                <w:color w:val="0070C0"/>
                <w:sz w:val="18"/>
                <w:szCs w:val="18"/>
              </w:rPr>
            </w:pPr>
            <w:r w:rsidRPr="00AB6725">
              <w:rPr>
                <w:rFonts w:cs="Arial"/>
                <w:color w:val="000000"/>
                <w:sz w:val="18"/>
                <w:szCs w:val="18"/>
              </w:rPr>
              <w:t>-16,962</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56674D34" w14:textId="77777777" w:rsidR="00AB6725" w:rsidRPr="00AB6725" w:rsidRDefault="00AB6725" w:rsidP="00AB6725">
            <w:pPr>
              <w:jc w:val="right"/>
              <w:rPr>
                <w:rFonts w:cs="Arial"/>
                <w:color w:val="0070C0"/>
                <w:sz w:val="18"/>
                <w:szCs w:val="18"/>
              </w:rPr>
            </w:pPr>
            <w:r w:rsidRPr="00AB6725">
              <w:rPr>
                <w:rFonts w:cs="Arial"/>
                <w:color w:val="000000"/>
                <w:sz w:val="18"/>
                <w:szCs w:val="18"/>
              </w:rPr>
              <w:t>-15,321</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409A286" w14:textId="77777777" w:rsidR="00AB6725" w:rsidRPr="00AB6725" w:rsidRDefault="00AB6725" w:rsidP="00AB6725">
            <w:pPr>
              <w:jc w:val="right"/>
              <w:rPr>
                <w:rFonts w:cs="Arial"/>
                <w:color w:val="0070C0"/>
                <w:sz w:val="18"/>
                <w:szCs w:val="18"/>
              </w:rPr>
            </w:pPr>
            <w:r w:rsidRPr="00AB6725">
              <w:rPr>
                <w:rFonts w:cs="Arial"/>
                <w:color w:val="000000"/>
                <w:sz w:val="18"/>
                <w:szCs w:val="18"/>
              </w:rPr>
              <w:t>-15,039</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10ACD855" w14:textId="77777777" w:rsidR="00AB6725" w:rsidRPr="00AB6725" w:rsidRDefault="00AB6725" w:rsidP="00AB6725">
            <w:pPr>
              <w:jc w:val="right"/>
              <w:rPr>
                <w:rFonts w:cs="Arial"/>
                <w:color w:val="0070C0"/>
                <w:sz w:val="18"/>
                <w:szCs w:val="18"/>
              </w:rPr>
            </w:pPr>
            <w:r w:rsidRPr="00AB6725">
              <w:rPr>
                <w:rFonts w:cs="Arial"/>
                <w:color w:val="000000"/>
                <w:sz w:val="18"/>
                <w:szCs w:val="18"/>
              </w:rPr>
              <w:t>-210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F3ECB3"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-47,532</w:t>
            </w:r>
          </w:p>
        </w:tc>
        <w:tc>
          <w:tcPr>
            <w:tcW w:w="1417" w:type="dxa"/>
            <w:tcBorders>
              <w:top w:val="nil"/>
              <w:left w:val="nil"/>
              <w:bottom w:val="single" w:sz="4" w:space="0" w:color="auto"/>
              <w:right w:val="single" w:sz="4" w:space="0" w:color="auto"/>
            </w:tcBorders>
            <w:shd w:val="clear" w:color="auto" w:fill="auto"/>
            <w:noWrap/>
            <w:vAlign w:val="center"/>
            <w:hideMark/>
          </w:tcPr>
          <w:p w14:paraId="15CC753C" w14:textId="77777777" w:rsidR="00AB6725" w:rsidRPr="00AB6725" w:rsidRDefault="00AB6725" w:rsidP="00AB6725">
            <w:pPr>
              <w:jc w:val="right"/>
              <w:rPr>
                <w:rFonts w:cs="Arial"/>
                <w:color w:val="0070C0"/>
                <w:sz w:val="18"/>
                <w:szCs w:val="18"/>
              </w:rPr>
            </w:pPr>
            <w:r w:rsidRPr="00AB6725">
              <w:rPr>
                <w:rFonts w:cs="Arial"/>
                <w:color w:val="000000"/>
                <w:sz w:val="18"/>
                <w:szCs w:val="18"/>
              </w:rPr>
              <w:t>-8,206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FBA28F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-402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3C30924" w14:textId="77777777" w:rsidR="00AB6725" w:rsidRPr="00AB6725" w:rsidRDefault="00AB6725" w:rsidP="00AB6725">
            <w:pPr>
              <w:jc w:val="right"/>
              <w:rPr>
                <w:rFonts w:cs="Arial"/>
                <w:color w:val="0070C0"/>
                <w:sz w:val="18"/>
                <w:szCs w:val="18"/>
              </w:rPr>
            </w:pPr>
            <w:r w:rsidRPr="00AB6725">
              <w:rPr>
                <w:rFonts w:cs="Arial"/>
                <w:color w:val="000000"/>
                <w:sz w:val="18"/>
                <w:szCs w:val="18"/>
              </w:rPr>
              <w:t>32,212</w:t>
            </w:r>
          </w:p>
        </w:tc>
        <w:tc>
          <w:tcPr>
            <w:tcW w:w="1134" w:type="dxa"/>
            <w:tcBorders>
              <w:top w:val="nil"/>
              <w:left w:val="nil"/>
              <w:bottom w:val="single" w:sz="4" w:space="0" w:color="auto"/>
              <w:right w:val="single" w:sz="4" w:space="0" w:color="auto"/>
            </w:tcBorders>
            <w:shd w:val="clear" w:color="auto" w:fill="auto"/>
            <w:noWrap/>
            <w:vAlign w:val="center"/>
          </w:tcPr>
          <w:p w14:paraId="6C42696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31,810</w:t>
            </w:r>
          </w:p>
        </w:tc>
      </w:tr>
      <w:tr w:rsidR="00AB6725" w:rsidRPr="00AB6725" w14:paraId="613DAECF"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7693216" w14:textId="77777777" w:rsidR="00AB6725" w:rsidRPr="00AB6725" w:rsidRDefault="00AB6725" w:rsidP="00AB6725">
            <w:pPr>
              <w:jc w:val="right"/>
              <w:rPr>
                <w:rFonts w:cs="Arial"/>
                <w:color w:val="0070C0"/>
                <w:sz w:val="18"/>
                <w:szCs w:val="18"/>
              </w:rPr>
            </w:pPr>
            <w:r w:rsidRPr="00AB6725">
              <w:rPr>
                <w:rFonts w:cs="Arial"/>
                <w:sz w:val="18"/>
                <w:szCs w:val="18"/>
              </w:rPr>
              <w:t>2044.45</w:t>
            </w:r>
          </w:p>
        </w:tc>
        <w:tc>
          <w:tcPr>
            <w:tcW w:w="1059" w:type="dxa"/>
            <w:tcBorders>
              <w:top w:val="nil"/>
              <w:left w:val="nil"/>
              <w:bottom w:val="single" w:sz="4" w:space="0" w:color="auto"/>
              <w:right w:val="single" w:sz="4" w:space="0" w:color="auto"/>
            </w:tcBorders>
            <w:shd w:val="clear" w:color="auto" w:fill="auto"/>
            <w:noWrap/>
            <w:vAlign w:val="center"/>
            <w:hideMark/>
          </w:tcPr>
          <w:p w14:paraId="19B37F6A" w14:textId="77777777" w:rsidR="00AB6725" w:rsidRPr="00AB6725" w:rsidRDefault="00AB6725" w:rsidP="00AB6725">
            <w:pPr>
              <w:jc w:val="right"/>
              <w:rPr>
                <w:rFonts w:cs="Arial"/>
                <w:color w:val="0070C0"/>
                <w:sz w:val="18"/>
                <w:szCs w:val="18"/>
              </w:rPr>
            </w:pPr>
            <w:r w:rsidRPr="00AB6725">
              <w:rPr>
                <w:rFonts w:cs="Arial"/>
                <w:color w:val="000000"/>
                <w:sz w:val="18"/>
                <w:szCs w:val="18"/>
              </w:rPr>
              <w:t>51,269</w:t>
            </w:r>
          </w:p>
        </w:tc>
        <w:tc>
          <w:tcPr>
            <w:tcW w:w="992" w:type="dxa"/>
            <w:tcBorders>
              <w:top w:val="nil"/>
              <w:left w:val="nil"/>
              <w:bottom w:val="single" w:sz="4" w:space="0" w:color="auto"/>
              <w:right w:val="single" w:sz="4" w:space="0" w:color="auto"/>
            </w:tcBorders>
            <w:shd w:val="clear" w:color="auto" w:fill="auto"/>
            <w:noWrap/>
            <w:vAlign w:val="center"/>
            <w:hideMark/>
          </w:tcPr>
          <w:p w14:paraId="162BBE15" w14:textId="77777777" w:rsidR="00AB6725" w:rsidRPr="00AB6725" w:rsidRDefault="00AB6725" w:rsidP="00AB6725">
            <w:pPr>
              <w:jc w:val="right"/>
              <w:rPr>
                <w:rFonts w:cs="Arial"/>
                <w:color w:val="0070C0"/>
                <w:sz w:val="18"/>
                <w:szCs w:val="18"/>
              </w:rPr>
            </w:pPr>
            <w:r w:rsidRPr="00AB6725">
              <w:rPr>
                <w:rFonts w:cs="Arial"/>
                <w:color w:val="000000"/>
                <w:sz w:val="18"/>
                <w:szCs w:val="18"/>
              </w:rPr>
              <w:t>4,974</w:t>
            </w:r>
          </w:p>
        </w:tc>
        <w:tc>
          <w:tcPr>
            <w:tcW w:w="992" w:type="dxa"/>
            <w:tcBorders>
              <w:top w:val="nil"/>
              <w:left w:val="nil"/>
              <w:bottom w:val="single" w:sz="4" w:space="0" w:color="auto"/>
              <w:right w:val="single" w:sz="4" w:space="0" w:color="auto"/>
            </w:tcBorders>
            <w:shd w:val="clear" w:color="auto" w:fill="auto"/>
            <w:noWrap/>
            <w:vAlign w:val="center"/>
            <w:hideMark/>
          </w:tcPr>
          <w:p w14:paraId="2727E46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56,243</w:t>
            </w:r>
          </w:p>
        </w:tc>
        <w:tc>
          <w:tcPr>
            <w:tcW w:w="1103" w:type="dxa"/>
            <w:tcBorders>
              <w:top w:val="nil"/>
              <w:left w:val="nil"/>
              <w:bottom w:val="single" w:sz="4" w:space="0" w:color="auto"/>
              <w:right w:val="single" w:sz="4" w:space="0" w:color="auto"/>
            </w:tcBorders>
            <w:shd w:val="clear" w:color="auto" w:fill="auto"/>
            <w:noWrap/>
            <w:vAlign w:val="center"/>
            <w:hideMark/>
          </w:tcPr>
          <w:p w14:paraId="4072F74C" w14:textId="77777777" w:rsidR="00AB6725" w:rsidRPr="00AB6725" w:rsidRDefault="00AB6725" w:rsidP="00AB6725">
            <w:pPr>
              <w:jc w:val="right"/>
              <w:rPr>
                <w:rFonts w:cs="Arial"/>
                <w:color w:val="0070C0"/>
                <w:sz w:val="18"/>
                <w:szCs w:val="18"/>
              </w:rPr>
            </w:pPr>
            <w:r w:rsidRPr="00AB6725">
              <w:rPr>
                <w:rFonts w:cs="Arial"/>
                <w:color w:val="000000"/>
                <w:sz w:val="18"/>
                <w:szCs w:val="18"/>
              </w:rPr>
              <w:t>-17,301</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15860650" w14:textId="77777777" w:rsidR="00AB6725" w:rsidRPr="00AB6725" w:rsidRDefault="00AB6725" w:rsidP="00AB6725">
            <w:pPr>
              <w:jc w:val="right"/>
              <w:rPr>
                <w:rFonts w:cs="Arial"/>
                <w:color w:val="0070C0"/>
                <w:sz w:val="18"/>
                <w:szCs w:val="18"/>
              </w:rPr>
            </w:pPr>
            <w:r w:rsidRPr="00AB6725">
              <w:rPr>
                <w:rFonts w:cs="Arial"/>
                <w:color w:val="000000"/>
                <w:sz w:val="18"/>
                <w:szCs w:val="18"/>
              </w:rPr>
              <w:t>-15,703</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1ACED86" w14:textId="77777777" w:rsidR="00AB6725" w:rsidRPr="00AB6725" w:rsidRDefault="00AB6725" w:rsidP="00AB6725">
            <w:pPr>
              <w:jc w:val="right"/>
              <w:rPr>
                <w:rFonts w:cs="Arial"/>
                <w:color w:val="0070C0"/>
                <w:sz w:val="18"/>
                <w:szCs w:val="18"/>
              </w:rPr>
            </w:pPr>
            <w:r w:rsidRPr="00AB6725">
              <w:rPr>
                <w:rFonts w:cs="Arial"/>
                <w:color w:val="000000"/>
                <w:sz w:val="18"/>
                <w:szCs w:val="18"/>
              </w:rPr>
              <w:t>-15,453</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72210BF0" w14:textId="77777777" w:rsidR="00AB6725" w:rsidRPr="00AB6725" w:rsidRDefault="00AB6725" w:rsidP="00AB6725">
            <w:pPr>
              <w:jc w:val="right"/>
              <w:rPr>
                <w:rFonts w:cs="Arial"/>
                <w:color w:val="0070C0"/>
                <w:sz w:val="18"/>
                <w:szCs w:val="18"/>
              </w:rPr>
            </w:pPr>
            <w:r w:rsidRPr="00AB6725">
              <w:rPr>
                <w:rFonts w:cs="Arial"/>
                <w:color w:val="000000"/>
                <w:sz w:val="18"/>
                <w:szCs w:val="18"/>
              </w:rPr>
              <w:t>-214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8D3E35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-48,672</w:t>
            </w:r>
          </w:p>
        </w:tc>
        <w:tc>
          <w:tcPr>
            <w:tcW w:w="1417" w:type="dxa"/>
            <w:tcBorders>
              <w:top w:val="nil"/>
              <w:left w:val="nil"/>
              <w:bottom w:val="single" w:sz="4" w:space="0" w:color="auto"/>
              <w:right w:val="single" w:sz="4" w:space="0" w:color="auto"/>
            </w:tcBorders>
            <w:shd w:val="clear" w:color="auto" w:fill="auto"/>
            <w:noWrap/>
            <w:vAlign w:val="center"/>
            <w:hideMark/>
          </w:tcPr>
          <w:p w14:paraId="73C60CEC" w14:textId="77777777" w:rsidR="00AB6725" w:rsidRPr="00AB6725" w:rsidRDefault="00AB6725" w:rsidP="00AB6725">
            <w:pPr>
              <w:jc w:val="right"/>
              <w:rPr>
                <w:rFonts w:cs="Arial"/>
                <w:color w:val="0070C0"/>
                <w:sz w:val="18"/>
                <w:szCs w:val="18"/>
              </w:rPr>
            </w:pPr>
            <w:r w:rsidRPr="00AB6725">
              <w:rPr>
                <w:rFonts w:cs="Arial"/>
                <w:color w:val="000000"/>
                <w:sz w:val="18"/>
                <w:szCs w:val="18"/>
              </w:rPr>
              <w:t>-8,206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EAA51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-635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7CCE1E3" w14:textId="77777777" w:rsidR="00AB6725" w:rsidRPr="00AB6725" w:rsidRDefault="00AB6725" w:rsidP="00AB6725">
            <w:pPr>
              <w:jc w:val="right"/>
              <w:rPr>
                <w:rFonts w:cs="Arial"/>
                <w:color w:val="0070C0"/>
                <w:sz w:val="18"/>
                <w:szCs w:val="18"/>
              </w:rPr>
            </w:pPr>
            <w:r w:rsidRPr="00AB6725">
              <w:rPr>
                <w:rFonts w:cs="Arial"/>
                <w:color w:val="000000"/>
                <w:sz w:val="18"/>
                <w:szCs w:val="18"/>
              </w:rPr>
              <w:t>31,810</w:t>
            </w:r>
          </w:p>
        </w:tc>
        <w:tc>
          <w:tcPr>
            <w:tcW w:w="1134" w:type="dxa"/>
            <w:tcBorders>
              <w:top w:val="nil"/>
              <w:left w:val="nil"/>
              <w:bottom w:val="single" w:sz="4" w:space="0" w:color="auto"/>
              <w:right w:val="single" w:sz="4" w:space="0" w:color="auto"/>
            </w:tcBorders>
            <w:shd w:val="clear" w:color="auto" w:fill="auto"/>
            <w:noWrap/>
            <w:vAlign w:val="center"/>
          </w:tcPr>
          <w:p w14:paraId="4A029C9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31,175</w:t>
            </w:r>
          </w:p>
        </w:tc>
      </w:tr>
      <w:tr w:rsidR="00AB6725" w:rsidRPr="00AB6725" w14:paraId="5B485480"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6681B43" w14:textId="77777777" w:rsidR="00AB6725" w:rsidRPr="00AB6725" w:rsidRDefault="00AB6725" w:rsidP="00AB6725">
            <w:pPr>
              <w:jc w:val="right"/>
              <w:rPr>
                <w:rFonts w:cs="Arial"/>
                <w:color w:val="0070C0"/>
                <w:sz w:val="18"/>
                <w:szCs w:val="18"/>
              </w:rPr>
            </w:pPr>
            <w:r w:rsidRPr="00AB6725">
              <w:rPr>
                <w:rFonts w:cs="Arial"/>
                <w:sz w:val="18"/>
                <w:szCs w:val="18"/>
              </w:rPr>
              <w:t>2045.46</w:t>
            </w:r>
          </w:p>
        </w:tc>
        <w:tc>
          <w:tcPr>
            <w:tcW w:w="1059" w:type="dxa"/>
            <w:tcBorders>
              <w:top w:val="nil"/>
              <w:left w:val="nil"/>
              <w:bottom w:val="single" w:sz="4" w:space="0" w:color="auto"/>
              <w:right w:val="single" w:sz="4" w:space="0" w:color="auto"/>
            </w:tcBorders>
            <w:shd w:val="clear" w:color="auto" w:fill="auto"/>
            <w:noWrap/>
            <w:vAlign w:val="center"/>
            <w:hideMark/>
          </w:tcPr>
          <w:p w14:paraId="32EA8792" w14:textId="77777777" w:rsidR="00AB6725" w:rsidRPr="00AB6725" w:rsidRDefault="00AB6725" w:rsidP="00AB6725">
            <w:pPr>
              <w:jc w:val="right"/>
              <w:rPr>
                <w:rFonts w:cs="Arial"/>
                <w:color w:val="0070C0"/>
                <w:sz w:val="18"/>
                <w:szCs w:val="18"/>
              </w:rPr>
            </w:pPr>
            <w:r w:rsidRPr="00AB6725">
              <w:rPr>
                <w:rFonts w:cs="Arial"/>
                <w:color w:val="000000"/>
                <w:sz w:val="18"/>
                <w:szCs w:val="18"/>
              </w:rPr>
              <w:t>52,090</w:t>
            </w:r>
          </w:p>
        </w:tc>
        <w:tc>
          <w:tcPr>
            <w:tcW w:w="992" w:type="dxa"/>
            <w:tcBorders>
              <w:top w:val="nil"/>
              <w:left w:val="nil"/>
              <w:bottom w:val="single" w:sz="4" w:space="0" w:color="auto"/>
              <w:right w:val="single" w:sz="4" w:space="0" w:color="auto"/>
            </w:tcBorders>
            <w:shd w:val="clear" w:color="auto" w:fill="auto"/>
            <w:noWrap/>
            <w:vAlign w:val="center"/>
            <w:hideMark/>
          </w:tcPr>
          <w:p w14:paraId="6A5FC8A6" w14:textId="77777777" w:rsidR="00AB6725" w:rsidRPr="00AB6725" w:rsidRDefault="00AB6725" w:rsidP="00AB6725">
            <w:pPr>
              <w:jc w:val="right"/>
              <w:rPr>
                <w:rFonts w:cs="Arial"/>
                <w:color w:val="0070C0"/>
                <w:sz w:val="18"/>
                <w:szCs w:val="18"/>
              </w:rPr>
            </w:pPr>
            <w:r w:rsidRPr="00AB6725">
              <w:rPr>
                <w:rFonts w:cs="Arial"/>
                <w:color w:val="000000"/>
                <w:sz w:val="18"/>
                <w:szCs w:val="18"/>
              </w:rPr>
              <w:t>5,075</w:t>
            </w:r>
          </w:p>
        </w:tc>
        <w:tc>
          <w:tcPr>
            <w:tcW w:w="992" w:type="dxa"/>
            <w:tcBorders>
              <w:top w:val="nil"/>
              <w:left w:val="nil"/>
              <w:bottom w:val="single" w:sz="4" w:space="0" w:color="auto"/>
              <w:right w:val="single" w:sz="4" w:space="0" w:color="auto"/>
            </w:tcBorders>
            <w:shd w:val="clear" w:color="auto" w:fill="auto"/>
            <w:noWrap/>
            <w:vAlign w:val="center"/>
            <w:hideMark/>
          </w:tcPr>
          <w:p w14:paraId="77A1759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57,165</w:t>
            </w:r>
          </w:p>
        </w:tc>
        <w:tc>
          <w:tcPr>
            <w:tcW w:w="1103" w:type="dxa"/>
            <w:tcBorders>
              <w:top w:val="nil"/>
              <w:left w:val="nil"/>
              <w:bottom w:val="single" w:sz="4" w:space="0" w:color="auto"/>
              <w:right w:val="single" w:sz="4" w:space="0" w:color="auto"/>
            </w:tcBorders>
            <w:shd w:val="clear" w:color="auto" w:fill="auto"/>
            <w:noWrap/>
            <w:vAlign w:val="center"/>
            <w:hideMark/>
          </w:tcPr>
          <w:p w14:paraId="082A557E" w14:textId="77777777" w:rsidR="00AB6725" w:rsidRPr="00AB6725" w:rsidRDefault="00AB6725" w:rsidP="00AB6725">
            <w:pPr>
              <w:jc w:val="right"/>
              <w:rPr>
                <w:rFonts w:cs="Arial"/>
                <w:color w:val="0070C0"/>
                <w:sz w:val="18"/>
                <w:szCs w:val="18"/>
              </w:rPr>
            </w:pPr>
            <w:r w:rsidRPr="00AB6725">
              <w:rPr>
                <w:rFonts w:cs="Arial"/>
                <w:color w:val="000000"/>
                <w:sz w:val="18"/>
                <w:szCs w:val="18"/>
              </w:rPr>
              <w:t>-17,647</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5B1E78A5" w14:textId="77777777" w:rsidR="00AB6725" w:rsidRPr="00AB6725" w:rsidRDefault="00AB6725" w:rsidP="00AB6725">
            <w:pPr>
              <w:jc w:val="right"/>
              <w:rPr>
                <w:rFonts w:cs="Arial"/>
                <w:color w:val="0070C0"/>
                <w:sz w:val="18"/>
                <w:szCs w:val="18"/>
              </w:rPr>
            </w:pPr>
            <w:r w:rsidRPr="00AB6725">
              <w:rPr>
                <w:rFonts w:cs="Arial"/>
                <w:color w:val="000000"/>
                <w:sz w:val="18"/>
                <w:szCs w:val="18"/>
              </w:rPr>
              <w:t>-16,095</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B0742C9" w14:textId="77777777" w:rsidR="00AB6725" w:rsidRPr="00AB6725" w:rsidRDefault="00AB6725" w:rsidP="00AB6725">
            <w:pPr>
              <w:jc w:val="right"/>
              <w:rPr>
                <w:rFonts w:cs="Arial"/>
                <w:color w:val="0070C0"/>
                <w:sz w:val="18"/>
                <w:szCs w:val="18"/>
              </w:rPr>
            </w:pPr>
            <w:r w:rsidRPr="00AB6725">
              <w:rPr>
                <w:rFonts w:cs="Arial"/>
                <w:color w:val="000000"/>
                <w:sz w:val="18"/>
                <w:szCs w:val="18"/>
              </w:rPr>
              <w:t>-15,879</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2099E1A1" w14:textId="77777777" w:rsidR="00AB6725" w:rsidRPr="00AB6725" w:rsidRDefault="00AB6725" w:rsidP="00AB6725">
            <w:pPr>
              <w:jc w:val="right"/>
              <w:rPr>
                <w:rFonts w:cs="Arial"/>
                <w:color w:val="0070C0"/>
                <w:sz w:val="18"/>
                <w:szCs w:val="18"/>
              </w:rPr>
            </w:pPr>
            <w:r w:rsidRPr="00AB6725">
              <w:rPr>
                <w:rFonts w:cs="Arial"/>
                <w:color w:val="000000"/>
                <w:sz w:val="18"/>
                <w:szCs w:val="18"/>
              </w:rPr>
              <w:t>-219</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71915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-49,839</w:t>
            </w:r>
          </w:p>
        </w:tc>
        <w:tc>
          <w:tcPr>
            <w:tcW w:w="1417" w:type="dxa"/>
            <w:tcBorders>
              <w:top w:val="nil"/>
              <w:left w:val="nil"/>
              <w:bottom w:val="single" w:sz="4" w:space="0" w:color="auto"/>
              <w:right w:val="single" w:sz="4" w:space="0" w:color="auto"/>
            </w:tcBorders>
            <w:shd w:val="clear" w:color="auto" w:fill="auto"/>
            <w:noWrap/>
            <w:vAlign w:val="center"/>
            <w:hideMark/>
          </w:tcPr>
          <w:p w14:paraId="01E184C3" w14:textId="77777777" w:rsidR="00AB6725" w:rsidRPr="00AB6725" w:rsidRDefault="00AB6725" w:rsidP="00AB6725">
            <w:pPr>
              <w:jc w:val="right"/>
              <w:rPr>
                <w:rFonts w:cs="Arial"/>
                <w:color w:val="0070C0"/>
                <w:sz w:val="18"/>
                <w:szCs w:val="18"/>
              </w:rPr>
            </w:pPr>
            <w:r w:rsidRPr="00AB6725">
              <w:rPr>
                <w:rFonts w:cs="Arial"/>
                <w:color w:val="000000"/>
                <w:sz w:val="18"/>
                <w:szCs w:val="18"/>
              </w:rPr>
              <w:t>-8,206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3AECB43"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-881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B89971" w14:textId="77777777" w:rsidR="00AB6725" w:rsidRPr="00AB6725" w:rsidRDefault="00AB6725" w:rsidP="00AB6725">
            <w:pPr>
              <w:jc w:val="right"/>
              <w:rPr>
                <w:rFonts w:cs="Arial"/>
                <w:color w:val="0070C0"/>
                <w:sz w:val="18"/>
                <w:szCs w:val="18"/>
              </w:rPr>
            </w:pPr>
            <w:r w:rsidRPr="00AB6725">
              <w:rPr>
                <w:rFonts w:cs="Arial"/>
                <w:color w:val="000000"/>
                <w:sz w:val="18"/>
                <w:szCs w:val="18"/>
              </w:rPr>
              <w:t>31,175</w:t>
            </w:r>
          </w:p>
        </w:tc>
        <w:tc>
          <w:tcPr>
            <w:tcW w:w="1134" w:type="dxa"/>
            <w:tcBorders>
              <w:top w:val="nil"/>
              <w:left w:val="nil"/>
              <w:bottom w:val="single" w:sz="4" w:space="0" w:color="auto"/>
              <w:right w:val="single" w:sz="4" w:space="0" w:color="auto"/>
            </w:tcBorders>
            <w:shd w:val="clear" w:color="auto" w:fill="auto"/>
            <w:noWrap/>
            <w:vAlign w:val="center"/>
          </w:tcPr>
          <w:p w14:paraId="7BE3553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30,294</w:t>
            </w:r>
          </w:p>
        </w:tc>
      </w:tr>
      <w:tr w:rsidR="00AB6725" w:rsidRPr="00AB6725" w14:paraId="3DDC44F8"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0DE9DBA" w14:textId="77777777" w:rsidR="00AB6725" w:rsidRPr="00AB6725" w:rsidRDefault="00AB6725" w:rsidP="00AB6725">
            <w:pPr>
              <w:jc w:val="right"/>
              <w:rPr>
                <w:rFonts w:cs="Arial"/>
                <w:color w:val="0070C0"/>
                <w:sz w:val="18"/>
                <w:szCs w:val="18"/>
              </w:rPr>
            </w:pPr>
            <w:r w:rsidRPr="00AB6725">
              <w:rPr>
                <w:rFonts w:cs="Arial"/>
                <w:sz w:val="18"/>
                <w:szCs w:val="18"/>
              </w:rPr>
              <w:t>2046.47</w:t>
            </w:r>
          </w:p>
        </w:tc>
        <w:tc>
          <w:tcPr>
            <w:tcW w:w="1059" w:type="dxa"/>
            <w:tcBorders>
              <w:top w:val="nil"/>
              <w:left w:val="nil"/>
              <w:bottom w:val="single" w:sz="4" w:space="0" w:color="auto"/>
              <w:right w:val="single" w:sz="4" w:space="0" w:color="auto"/>
            </w:tcBorders>
            <w:shd w:val="clear" w:color="auto" w:fill="auto"/>
            <w:noWrap/>
            <w:vAlign w:val="center"/>
            <w:hideMark/>
          </w:tcPr>
          <w:p w14:paraId="77559945" w14:textId="77777777" w:rsidR="00AB6725" w:rsidRPr="00AB6725" w:rsidRDefault="00AB6725" w:rsidP="00AB6725">
            <w:pPr>
              <w:jc w:val="right"/>
              <w:rPr>
                <w:rFonts w:cs="Arial"/>
                <w:color w:val="0070C0"/>
                <w:sz w:val="18"/>
                <w:szCs w:val="18"/>
              </w:rPr>
            </w:pPr>
            <w:r w:rsidRPr="00AB6725">
              <w:rPr>
                <w:rFonts w:cs="Arial"/>
                <w:color w:val="000000"/>
                <w:sz w:val="18"/>
                <w:szCs w:val="18"/>
              </w:rPr>
              <w:t>52,924</w:t>
            </w:r>
          </w:p>
        </w:tc>
        <w:tc>
          <w:tcPr>
            <w:tcW w:w="992" w:type="dxa"/>
            <w:tcBorders>
              <w:top w:val="nil"/>
              <w:left w:val="nil"/>
              <w:bottom w:val="single" w:sz="4" w:space="0" w:color="auto"/>
              <w:right w:val="single" w:sz="4" w:space="0" w:color="auto"/>
            </w:tcBorders>
            <w:shd w:val="clear" w:color="auto" w:fill="auto"/>
            <w:noWrap/>
            <w:vAlign w:val="center"/>
            <w:hideMark/>
          </w:tcPr>
          <w:p w14:paraId="29E5EED2" w14:textId="77777777" w:rsidR="00AB6725" w:rsidRPr="00AB6725" w:rsidRDefault="00AB6725" w:rsidP="00AB6725">
            <w:pPr>
              <w:jc w:val="right"/>
              <w:rPr>
                <w:rFonts w:cs="Arial"/>
                <w:color w:val="0070C0"/>
                <w:sz w:val="18"/>
                <w:szCs w:val="18"/>
              </w:rPr>
            </w:pPr>
            <w:r w:rsidRPr="00AB6725">
              <w:rPr>
                <w:rFonts w:cs="Arial"/>
                <w:color w:val="000000"/>
                <w:sz w:val="18"/>
                <w:szCs w:val="18"/>
              </w:rPr>
              <w:t>5,179</w:t>
            </w:r>
          </w:p>
        </w:tc>
        <w:tc>
          <w:tcPr>
            <w:tcW w:w="992" w:type="dxa"/>
            <w:tcBorders>
              <w:top w:val="nil"/>
              <w:left w:val="nil"/>
              <w:bottom w:val="single" w:sz="4" w:space="0" w:color="auto"/>
              <w:right w:val="single" w:sz="4" w:space="0" w:color="auto"/>
            </w:tcBorders>
            <w:shd w:val="clear" w:color="auto" w:fill="auto"/>
            <w:noWrap/>
            <w:vAlign w:val="center"/>
            <w:hideMark/>
          </w:tcPr>
          <w:p w14:paraId="7507ABF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58,103</w:t>
            </w:r>
          </w:p>
        </w:tc>
        <w:tc>
          <w:tcPr>
            <w:tcW w:w="1103" w:type="dxa"/>
            <w:tcBorders>
              <w:top w:val="nil"/>
              <w:left w:val="nil"/>
              <w:bottom w:val="single" w:sz="4" w:space="0" w:color="auto"/>
              <w:right w:val="single" w:sz="4" w:space="0" w:color="auto"/>
            </w:tcBorders>
            <w:shd w:val="clear" w:color="auto" w:fill="auto"/>
            <w:noWrap/>
            <w:vAlign w:val="center"/>
            <w:hideMark/>
          </w:tcPr>
          <w:p w14:paraId="425C9C49" w14:textId="77777777" w:rsidR="00AB6725" w:rsidRPr="00AB6725" w:rsidRDefault="00AB6725" w:rsidP="00AB6725">
            <w:pPr>
              <w:jc w:val="right"/>
              <w:rPr>
                <w:rFonts w:cs="Arial"/>
                <w:color w:val="0070C0"/>
                <w:sz w:val="18"/>
                <w:szCs w:val="18"/>
              </w:rPr>
            </w:pPr>
            <w:r w:rsidRPr="00AB6725">
              <w:rPr>
                <w:rFonts w:cs="Arial"/>
                <w:color w:val="000000"/>
                <w:sz w:val="18"/>
                <w:szCs w:val="18"/>
              </w:rPr>
              <w:t>-18,000</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75E4850B" w14:textId="77777777" w:rsidR="00AB6725" w:rsidRPr="00AB6725" w:rsidRDefault="00AB6725" w:rsidP="00AB6725">
            <w:pPr>
              <w:jc w:val="right"/>
              <w:rPr>
                <w:rFonts w:cs="Arial"/>
                <w:color w:val="0070C0"/>
                <w:sz w:val="18"/>
                <w:szCs w:val="18"/>
              </w:rPr>
            </w:pPr>
            <w:r w:rsidRPr="00AB6725">
              <w:rPr>
                <w:rFonts w:cs="Arial"/>
                <w:color w:val="000000"/>
                <w:sz w:val="18"/>
                <w:szCs w:val="18"/>
              </w:rPr>
              <w:t>-16,496</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AD0DFBF" w14:textId="77777777" w:rsidR="00AB6725" w:rsidRPr="00AB6725" w:rsidRDefault="00AB6725" w:rsidP="00AB6725">
            <w:pPr>
              <w:jc w:val="right"/>
              <w:rPr>
                <w:rFonts w:cs="Arial"/>
                <w:color w:val="0070C0"/>
                <w:sz w:val="18"/>
                <w:szCs w:val="18"/>
              </w:rPr>
            </w:pPr>
            <w:r w:rsidRPr="00AB6725">
              <w:rPr>
                <w:rFonts w:cs="Arial"/>
                <w:color w:val="000000"/>
                <w:sz w:val="18"/>
                <w:szCs w:val="18"/>
              </w:rPr>
              <w:t>-16,316</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1A2479D5" w14:textId="77777777" w:rsidR="00AB6725" w:rsidRPr="00AB6725" w:rsidRDefault="00AB6725" w:rsidP="00AB6725">
            <w:pPr>
              <w:jc w:val="right"/>
              <w:rPr>
                <w:rFonts w:cs="Arial"/>
                <w:color w:val="0070C0"/>
                <w:sz w:val="18"/>
                <w:szCs w:val="18"/>
              </w:rPr>
            </w:pPr>
            <w:r w:rsidRPr="00AB6725">
              <w:rPr>
                <w:rFonts w:cs="Arial"/>
                <w:color w:val="000000"/>
                <w:sz w:val="18"/>
                <w:szCs w:val="18"/>
              </w:rPr>
              <w:t>-223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46292E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-51,035</w:t>
            </w:r>
          </w:p>
        </w:tc>
        <w:tc>
          <w:tcPr>
            <w:tcW w:w="1417" w:type="dxa"/>
            <w:tcBorders>
              <w:top w:val="nil"/>
              <w:left w:val="nil"/>
              <w:bottom w:val="single" w:sz="4" w:space="0" w:color="auto"/>
              <w:right w:val="single" w:sz="4" w:space="0" w:color="auto"/>
            </w:tcBorders>
            <w:shd w:val="clear" w:color="auto" w:fill="auto"/>
            <w:noWrap/>
            <w:vAlign w:val="center"/>
            <w:hideMark/>
          </w:tcPr>
          <w:p w14:paraId="54A9ABE9" w14:textId="77777777" w:rsidR="00AB6725" w:rsidRPr="00AB6725" w:rsidRDefault="00AB6725" w:rsidP="00AB6725">
            <w:pPr>
              <w:jc w:val="right"/>
              <w:rPr>
                <w:rFonts w:cs="Arial"/>
                <w:color w:val="0070C0"/>
                <w:sz w:val="18"/>
                <w:szCs w:val="18"/>
              </w:rPr>
            </w:pPr>
            <w:r w:rsidRPr="00AB6725">
              <w:rPr>
                <w:rFonts w:cs="Arial"/>
                <w:color w:val="000000"/>
                <w:sz w:val="18"/>
                <w:szCs w:val="18"/>
              </w:rPr>
              <w:t>-8,206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C34F23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-1,138</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63E243D" w14:textId="77777777" w:rsidR="00AB6725" w:rsidRPr="00AB6725" w:rsidRDefault="00AB6725" w:rsidP="00AB6725">
            <w:pPr>
              <w:jc w:val="right"/>
              <w:rPr>
                <w:rFonts w:cs="Arial"/>
                <w:color w:val="0070C0"/>
                <w:sz w:val="18"/>
                <w:szCs w:val="18"/>
              </w:rPr>
            </w:pPr>
            <w:r w:rsidRPr="00AB6725">
              <w:rPr>
                <w:rFonts w:cs="Arial"/>
                <w:color w:val="000000"/>
                <w:sz w:val="18"/>
                <w:szCs w:val="18"/>
              </w:rPr>
              <w:t>30,294</w:t>
            </w:r>
          </w:p>
        </w:tc>
        <w:tc>
          <w:tcPr>
            <w:tcW w:w="1134" w:type="dxa"/>
            <w:tcBorders>
              <w:top w:val="nil"/>
              <w:left w:val="nil"/>
              <w:bottom w:val="single" w:sz="4" w:space="0" w:color="auto"/>
              <w:right w:val="single" w:sz="4" w:space="0" w:color="auto"/>
            </w:tcBorders>
            <w:shd w:val="clear" w:color="auto" w:fill="auto"/>
            <w:noWrap/>
            <w:vAlign w:val="center"/>
          </w:tcPr>
          <w:p w14:paraId="790131B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29,156</w:t>
            </w:r>
          </w:p>
        </w:tc>
      </w:tr>
      <w:tr w:rsidR="00AB6725" w:rsidRPr="00AB6725" w14:paraId="58DEC267"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464EA6B3" w14:textId="77777777" w:rsidR="00AB6725" w:rsidRPr="00AB6725" w:rsidRDefault="00AB6725" w:rsidP="00AB6725">
            <w:pPr>
              <w:jc w:val="right"/>
              <w:rPr>
                <w:rFonts w:cs="Arial"/>
                <w:color w:val="0070C0"/>
                <w:sz w:val="18"/>
                <w:szCs w:val="18"/>
              </w:rPr>
            </w:pPr>
            <w:r w:rsidRPr="00AB6725">
              <w:rPr>
                <w:rFonts w:cs="Arial"/>
                <w:sz w:val="18"/>
                <w:szCs w:val="18"/>
              </w:rPr>
              <w:t>2047.48</w:t>
            </w:r>
          </w:p>
        </w:tc>
        <w:tc>
          <w:tcPr>
            <w:tcW w:w="1059" w:type="dxa"/>
            <w:tcBorders>
              <w:top w:val="nil"/>
              <w:left w:val="nil"/>
              <w:bottom w:val="single" w:sz="4" w:space="0" w:color="auto"/>
              <w:right w:val="single" w:sz="4" w:space="0" w:color="auto"/>
            </w:tcBorders>
            <w:shd w:val="clear" w:color="auto" w:fill="auto"/>
            <w:noWrap/>
            <w:vAlign w:val="center"/>
            <w:hideMark/>
          </w:tcPr>
          <w:p w14:paraId="525DFB3D" w14:textId="77777777" w:rsidR="00AB6725" w:rsidRPr="00AB6725" w:rsidRDefault="00AB6725" w:rsidP="00AB6725">
            <w:pPr>
              <w:jc w:val="right"/>
              <w:rPr>
                <w:rFonts w:cs="Arial"/>
                <w:color w:val="0070C0"/>
                <w:sz w:val="18"/>
                <w:szCs w:val="18"/>
              </w:rPr>
            </w:pPr>
            <w:r w:rsidRPr="00AB6725">
              <w:rPr>
                <w:rFonts w:cs="Arial"/>
                <w:color w:val="000000"/>
                <w:sz w:val="18"/>
                <w:szCs w:val="18"/>
              </w:rPr>
              <w:t>54,804</w:t>
            </w:r>
          </w:p>
        </w:tc>
        <w:tc>
          <w:tcPr>
            <w:tcW w:w="992" w:type="dxa"/>
            <w:tcBorders>
              <w:top w:val="nil"/>
              <w:left w:val="nil"/>
              <w:bottom w:val="single" w:sz="4" w:space="0" w:color="auto"/>
              <w:right w:val="single" w:sz="4" w:space="0" w:color="auto"/>
            </w:tcBorders>
            <w:shd w:val="clear" w:color="auto" w:fill="auto"/>
            <w:noWrap/>
            <w:vAlign w:val="center"/>
            <w:hideMark/>
          </w:tcPr>
          <w:p w14:paraId="7A7C47AC" w14:textId="77777777" w:rsidR="00AB6725" w:rsidRPr="00AB6725" w:rsidRDefault="00AB6725" w:rsidP="00AB6725">
            <w:pPr>
              <w:jc w:val="right"/>
              <w:rPr>
                <w:rFonts w:cs="Arial"/>
                <w:color w:val="0070C0"/>
                <w:sz w:val="18"/>
                <w:szCs w:val="18"/>
              </w:rPr>
            </w:pPr>
            <w:r w:rsidRPr="00AB6725">
              <w:rPr>
                <w:rFonts w:cs="Arial"/>
                <w:color w:val="000000"/>
                <w:sz w:val="18"/>
                <w:szCs w:val="18"/>
              </w:rPr>
              <w:t>5,287</w:t>
            </w:r>
          </w:p>
        </w:tc>
        <w:tc>
          <w:tcPr>
            <w:tcW w:w="992" w:type="dxa"/>
            <w:tcBorders>
              <w:top w:val="nil"/>
              <w:left w:val="nil"/>
              <w:bottom w:val="single" w:sz="4" w:space="0" w:color="auto"/>
              <w:right w:val="single" w:sz="4" w:space="0" w:color="auto"/>
            </w:tcBorders>
            <w:shd w:val="clear" w:color="auto" w:fill="auto"/>
            <w:noWrap/>
            <w:vAlign w:val="center"/>
            <w:hideMark/>
          </w:tcPr>
          <w:p w14:paraId="0CD67CA3"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60,090</w:t>
            </w:r>
          </w:p>
        </w:tc>
        <w:tc>
          <w:tcPr>
            <w:tcW w:w="1103" w:type="dxa"/>
            <w:tcBorders>
              <w:top w:val="nil"/>
              <w:left w:val="nil"/>
              <w:bottom w:val="single" w:sz="4" w:space="0" w:color="auto"/>
              <w:right w:val="single" w:sz="4" w:space="0" w:color="auto"/>
            </w:tcBorders>
            <w:shd w:val="clear" w:color="auto" w:fill="auto"/>
            <w:noWrap/>
            <w:vAlign w:val="center"/>
            <w:hideMark/>
          </w:tcPr>
          <w:p w14:paraId="1B78231A" w14:textId="77777777" w:rsidR="00AB6725" w:rsidRPr="00AB6725" w:rsidRDefault="00AB6725" w:rsidP="00AB6725">
            <w:pPr>
              <w:jc w:val="right"/>
              <w:rPr>
                <w:rFonts w:cs="Arial"/>
                <w:color w:val="0070C0"/>
                <w:sz w:val="18"/>
                <w:szCs w:val="18"/>
              </w:rPr>
            </w:pPr>
            <w:r w:rsidRPr="00AB6725">
              <w:rPr>
                <w:rFonts w:cs="Arial"/>
                <w:color w:val="000000"/>
                <w:sz w:val="18"/>
                <w:szCs w:val="18"/>
              </w:rPr>
              <w:t>-18,360</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6AE76486" w14:textId="77777777" w:rsidR="00AB6725" w:rsidRPr="00AB6725" w:rsidRDefault="00AB6725" w:rsidP="00AB6725">
            <w:pPr>
              <w:jc w:val="right"/>
              <w:rPr>
                <w:rFonts w:cs="Arial"/>
                <w:color w:val="0070C0"/>
                <w:sz w:val="18"/>
                <w:szCs w:val="18"/>
              </w:rPr>
            </w:pPr>
            <w:r w:rsidRPr="00AB6725">
              <w:rPr>
                <w:rFonts w:cs="Arial"/>
                <w:color w:val="000000"/>
                <w:sz w:val="18"/>
                <w:szCs w:val="18"/>
              </w:rPr>
              <w:t>-16,907</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A085ED7" w14:textId="77777777" w:rsidR="00AB6725" w:rsidRPr="00AB6725" w:rsidRDefault="00AB6725" w:rsidP="00AB6725">
            <w:pPr>
              <w:jc w:val="right"/>
              <w:rPr>
                <w:rFonts w:cs="Arial"/>
                <w:color w:val="0070C0"/>
                <w:sz w:val="18"/>
                <w:szCs w:val="18"/>
              </w:rPr>
            </w:pPr>
            <w:r w:rsidRPr="00AB6725">
              <w:rPr>
                <w:rFonts w:cs="Arial"/>
                <w:color w:val="000000"/>
                <w:sz w:val="18"/>
                <w:szCs w:val="18"/>
              </w:rPr>
              <w:t>-16,765</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3E2B492E" w14:textId="77777777" w:rsidR="00AB6725" w:rsidRPr="00AB6725" w:rsidRDefault="00AB6725" w:rsidP="00AB6725">
            <w:pPr>
              <w:jc w:val="right"/>
              <w:rPr>
                <w:rFonts w:cs="Arial"/>
                <w:color w:val="0070C0"/>
                <w:sz w:val="18"/>
                <w:szCs w:val="18"/>
              </w:rPr>
            </w:pPr>
            <w:r w:rsidRPr="00AB6725">
              <w:rPr>
                <w:rFonts w:cs="Arial"/>
                <w:color w:val="000000"/>
                <w:sz w:val="18"/>
                <w:szCs w:val="18"/>
              </w:rPr>
              <w:t>-227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DA332D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-52,260</w:t>
            </w:r>
          </w:p>
        </w:tc>
        <w:tc>
          <w:tcPr>
            <w:tcW w:w="1417" w:type="dxa"/>
            <w:tcBorders>
              <w:top w:val="nil"/>
              <w:left w:val="nil"/>
              <w:bottom w:val="single" w:sz="4" w:space="0" w:color="auto"/>
              <w:right w:val="single" w:sz="4" w:space="0" w:color="auto"/>
            </w:tcBorders>
            <w:shd w:val="clear" w:color="auto" w:fill="auto"/>
            <w:noWrap/>
            <w:vAlign w:val="center"/>
            <w:hideMark/>
          </w:tcPr>
          <w:p w14:paraId="18E246BD" w14:textId="77777777" w:rsidR="00AB6725" w:rsidRPr="00AB6725" w:rsidRDefault="00AB6725" w:rsidP="00AB6725">
            <w:pPr>
              <w:jc w:val="right"/>
              <w:rPr>
                <w:rFonts w:cs="Arial"/>
                <w:color w:val="0070C0"/>
                <w:sz w:val="18"/>
                <w:szCs w:val="18"/>
              </w:rPr>
            </w:pPr>
            <w:r w:rsidRPr="00AB6725">
              <w:rPr>
                <w:rFonts w:cs="Arial"/>
                <w:color w:val="000000"/>
                <w:sz w:val="18"/>
                <w:szCs w:val="18"/>
              </w:rPr>
              <w:t>-8,206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BC071F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-376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0E0D823" w14:textId="77777777" w:rsidR="00AB6725" w:rsidRPr="00AB6725" w:rsidRDefault="00AB6725" w:rsidP="00AB6725">
            <w:pPr>
              <w:jc w:val="right"/>
              <w:rPr>
                <w:rFonts w:cs="Arial"/>
                <w:color w:val="0070C0"/>
                <w:sz w:val="18"/>
                <w:szCs w:val="18"/>
              </w:rPr>
            </w:pPr>
            <w:r w:rsidRPr="00AB6725">
              <w:rPr>
                <w:rFonts w:cs="Arial"/>
                <w:color w:val="000000"/>
                <w:sz w:val="18"/>
                <w:szCs w:val="18"/>
              </w:rPr>
              <w:t>29,156</w:t>
            </w:r>
          </w:p>
        </w:tc>
        <w:tc>
          <w:tcPr>
            <w:tcW w:w="1134" w:type="dxa"/>
            <w:tcBorders>
              <w:top w:val="nil"/>
              <w:left w:val="nil"/>
              <w:bottom w:val="single" w:sz="4" w:space="0" w:color="auto"/>
              <w:right w:val="single" w:sz="4" w:space="0" w:color="auto"/>
            </w:tcBorders>
            <w:shd w:val="clear" w:color="auto" w:fill="auto"/>
            <w:noWrap/>
            <w:vAlign w:val="center"/>
          </w:tcPr>
          <w:p w14:paraId="2CD09487"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28,780</w:t>
            </w:r>
          </w:p>
        </w:tc>
      </w:tr>
      <w:tr w:rsidR="00AB6725" w:rsidRPr="00AB6725" w14:paraId="355EA19C"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74D4CE91" w14:textId="77777777" w:rsidR="00AB6725" w:rsidRPr="00AB6725" w:rsidRDefault="00AB6725" w:rsidP="00AB6725">
            <w:pPr>
              <w:jc w:val="right"/>
              <w:rPr>
                <w:rFonts w:cs="Arial"/>
                <w:color w:val="0070C0"/>
                <w:sz w:val="18"/>
                <w:szCs w:val="18"/>
              </w:rPr>
            </w:pPr>
            <w:r w:rsidRPr="00AB6725">
              <w:rPr>
                <w:rFonts w:cs="Arial"/>
                <w:sz w:val="18"/>
                <w:szCs w:val="18"/>
              </w:rPr>
              <w:t>2048.49</w:t>
            </w:r>
          </w:p>
        </w:tc>
        <w:tc>
          <w:tcPr>
            <w:tcW w:w="1059" w:type="dxa"/>
            <w:tcBorders>
              <w:top w:val="nil"/>
              <w:left w:val="nil"/>
              <w:bottom w:val="single" w:sz="4" w:space="0" w:color="auto"/>
              <w:right w:val="single" w:sz="4" w:space="0" w:color="auto"/>
            </w:tcBorders>
            <w:shd w:val="clear" w:color="auto" w:fill="auto"/>
            <w:noWrap/>
            <w:vAlign w:val="center"/>
            <w:hideMark/>
          </w:tcPr>
          <w:p w14:paraId="2305991F" w14:textId="77777777" w:rsidR="00AB6725" w:rsidRPr="00AB6725" w:rsidRDefault="00AB6725" w:rsidP="00AB6725">
            <w:pPr>
              <w:jc w:val="right"/>
              <w:rPr>
                <w:rFonts w:cs="Arial"/>
                <w:color w:val="0070C0"/>
                <w:sz w:val="18"/>
                <w:szCs w:val="18"/>
              </w:rPr>
            </w:pPr>
            <w:r w:rsidRPr="00AB6725">
              <w:rPr>
                <w:rFonts w:cs="Arial"/>
                <w:color w:val="000000"/>
                <w:sz w:val="18"/>
                <w:szCs w:val="18"/>
              </w:rPr>
              <w:t>54,628</w:t>
            </w:r>
          </w:p>
        </w:tc>
        <w:tc>
          <w:tcPr>
            <w:tcW w:w="992" w:type="dxa"/>
            <w:tcBorders>
              <w:top w:val="nil"/>
              <w:left w:val="nil"/>
              <w:bottom w:val="single" w:sz="4" w:space="0" w:color="auto"/>
              <w:right w:val="single" w:sz="4" w:space="0" w:color="auto"/>
            </w:tcBorders>
            <w:shd w:val="clear" w:color="auto" w:fill="auto"/>
            <w:noWrap/>
            <w:vAlign w:val="center"/>
            <w:hideMark/>
          </w:tcPr>
          <w:p w14:paraId="28D00B43" w14:textId="77777777" w:rsidR="00AB6725" w:rsidRPr="00AB6725" w:rsidRDefault="00AB6725" w:rsidP="00AB6725">
            <w:pPr>
              <w:jc w:val="right"/>
              <w:rPr>
                <w:rFonts w:cs="Arial"/>
                <w:color w:val="0070C0"/>
                <w:sz w:val="18"/>
                <w:szCs w:val="18"/>
              </w:rPr>
            </w:pPr>
            <w:r w:rsidRPr="00AB6725">
              <w:rPr>
                <w:rFonts w:cs="Arial"/>
                <w:color w:val="000000"/>
                <w:sz w:val="18"/>
                <w:szCs w:val="18"/>
              </w:rPr>
              <w:t>5,398</w:t>
            </w:r>
          </w:p>
        </w:tc>
        <w:tc>
          <w:tcPr>
            <w:tcW w:w="992" w:type="dxa"/>
            <w:tcBorders>
              <w:top w:val="nil"/>
              <w:left w:val="nil"/>
              <w:bottom w:val="single" w:sz="4" w:space="0" w:color="auto"/>
              <w:right w:val="single" w:sz="4" w:space="0" w:color="auto"/>
            </w:tcBorders>
            <w:shd w:val="clear" w:color="auto" w:fill="auto"/>
            <w:noWrap/>
            <w:vAlign w:val="center"/>
            <w:hideMark/>
          </w:tcPr>
          <w:p w14:paraId="504CCA60"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60,026</w:t>
            </w:r>
          </w:p>
        </w:tc>
        <w:tc>
          <w:tcPr>
            <w:tcW w:w="1103" w:type="dxa"/>
            <w:tcBorders>
              <w:top w:val="nil"/>
              <w:left w:val="nil"/>
              <w:bottom w:val="single" w:sz="4" w:space="0" w:color="auto"/>
              <w:right w:val="single" w:sz="4" w:space="0" w:color="auto"/>
            </w:tcBorders>
            <w:shd w:val="clear" w:color="auto" w:fill="auto"/>
            <w:noWrap/>
            <w:vAlign w:val="center"/>
            <w:hideMark/>
          </w:tcPr>
          <w:p w14:paraId="2CFCB831" w14:textId="77777777" w:rsidR="00AB6725" w:rsidRPr="00AB6725" w:rsidRDefault="00AB6725" w:rsidP="00AB6725">
            <w:pPr>
              <w:jc w:val="right"/>
              <w:rPr>
                <w:rFonts w:cs="Arial"/>
                <w:color w:val="0070C0"/>
                <w:sz w:val="18"/>
                <w:szCs w:val="18"/>
              </w:rPr>
            </w:pPr>
            <w:r w:rsidRPr="00AB6725">
              <w:rPr>
                <w:rFonts w:cs="Arial"/>
                <w:color w:val="000000"/>
                <w:sz w:val="18"/>
                <w:szCs w:val="18"/>
              </w:rPr>
              <w:t>-18,727</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7632F82E" w14:textId="77777777" w:rsidR="00AB6725" w:rsidRPr="00AB6725" w:rsidRDefault="00AB6725" w:rsidP="00AB6725">
            <w:pPr>
              <w:jc w:val="right"/>
              <w:rPr>
                <w:rFonts w:cs="Arial"/>
                <w:color w:val="0070C0"/>
                <w:sz w:val="18"/>
                <w:szCs w:val="18"/>
              </w:rPr>
            </w:pPr>
            <w:r w:rsidRPr="00AB6725">
              <w:rPr>
                <w:rFonts w:cs="Arial"/>
                <w:color w:val="000000"/>
                <w:sz w:val="18"/>
                <w:szCs w:val="18"/>
              </w:rPr>
              <w:t>-17,328</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C67E863" w14:textId="77777777" w:rsidR="00AB6725" w:rsidRPr="00AB6725" w:rsidRDefault="00AB6725" w:rsidP="00AB6725">
            <w:pPr>
              <w:jc w:val="right"/>
              <w:rPr>
                <w:rFonts w:cs="Arial"/>
                <w:color w:val="0070C0"/>
                <w:sz w:val="18"/>
                <w:szCs w:val="18"/>
              </w:rPr>
            </w:pPr>
            <w:r w:rsidRPr="00AB6725">
              <w:rPr>
                <w:rFonts w:cs="Arial"/>
                <w:color w:val="000000"/>
                <w:sz w:val="18"/>
                <w:szCs w:val="18"/>
              </w:rPr>
              <w:t>-17,227</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594AD230" w14:textId="77777777" w:rsidR="00AB6725" w:rsidRPr="00AB6725" w:rsidRDefault="00AB6725" w:rsidP="00AB6725">
            <w:pPr>
              <w:jc w:val="right"/>
              <w:rPr>
                <w:rFonts w:cs="Arial"/>
                <w:color w:val="0070C0"/>
                <w:sz w:val="18"/>
                <w:szCs w:val="18"/>
              </w:rPr>
            </w:pPr>
            <w:r w:rsidRPr="00AB6725">
              <w:rPr>
                <w:rFonts w:cs="Arial"/>
                <w:color w:val="000000"/>
                <w:sz w:val="18"/>
                <w:szCs w:val="18"/>
              </w:rPr>
              <w:t>-232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66E6C6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-53,514</w:t>
            </w:r>
          </w:p>
        </w:tc>
        <w:tc>
          <w:tcPr>
            <w:tcW w:w="1417" w:type="dxa"/>
            <w:tcBorders>
              <w:top w:val="nil"/>
              <w:left w:val="nil"/>
              <w:bottom w:val="single" w:sz="4" w:space="0" w:color="auto"/>
              <w:right w:val="single" w:sz="4" w:space="0" w:color="auto"/>
            </w:tcBorders>
            <w:shd w:val="clear" w:color="auto" w:fill="auto"/>
            <w:noWrap/>
            <w:vAlign w:val="center"/>
            <w:hideMark/>
          </w:tcPr>
          <w:p w14:paraId="75428E80" w14:textId="77777777" w:rsidR="00AB6725" w:rsidRPr="00AB6725" w:rsidRDefault="00AB6725" w:rsidP="00AB6725">
            <w:pPr>
              <w:jc w:val="right"/>
              <w:rPr>
                <w:rFonts w:cs="Arial"/>
                <w:color w:val="0070C0"/>
                <w:sz w:val="18"/>
                <w:szCs w:val="18"/>
              </w:rPr>
            </w:pPr>
            <w:r w:rsidRPr="00AB6725">
              <w:rPr>
                <w:rFonts w:cs="Arial"/>
                <w:color w:val="000000"/>
                <w:sz w:val="18"/>
                <w:szCs w:val="18"/>
              </w:rPr>
              <w:t>-8,207</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561BCD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-1,695</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1962CCA" w14:textId="77777777" w:rsidR="00AB6725" w:rsidRPr="00AB6725" w:rsidRDefault="00AB6725" w:rsidP="00AB6725">
            <w:pPr>
              <w:jc w:val="right"/>
              <w:rPr>
                <w:rFonts w:cs="Arial"/>
                <w:color w:val="0070C0"/>
                <w:sz w:val="18"/>
                <w:szCs w:val="18"/>
              </w:rPr>
            </w:pPr>
            <w:r w:rsidRPr="00AB6725">
              <w:rPr>
                <w:rFonts w:cs="Arial"/>
                <w:color w:val="000000"/>
                <w:sz w:val="18"/>
                <w:szCs w:val="18"/>
              </w:rPr>
              <w:t>28,780</w:t>
            </w:r>
          </w:p>
        </w:tc>
        <w:tc>
          <w:tcPr>
            <w:tcW w:w="1134" w:type="dxa"/>
            <w:tcBorders>
              <w:top w:val="nil"/>
              <w:left w:val="nil"/>
              <w:bottom w:val="single" w:sz="4" w:space="0" w:color="auto"/>
              <w:right w:val="single" w:sz="4" w:space="0" w:color="auto"/>
            </w:tcBorders>
            <w:shd w:val="clear" w:color="auto" w:fill="auto"/>
            <w:noWrap/>
            <w:vAlign w:val="center"/>
          </w:tcPr>
          <w:p w14:paraId="5941336C"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27,085</w:t>
            </w:r>
          </w:p>
        </w:tc>
      </w:tr>
      <w:tr w:rsidR="00AB6725" w:rsidRPr="00AB6725" w14:paraId="0B6F3A9F" w14:textId="77777777" w:rsidTr="0082610E">
        <w:trPr>
          <w:gridAfter w:val="1"/>
          <w:wAfter w:w="64" w:type="dxa"/>
          <w:trHeight w:val="264"/>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A6A9C51" w14:textId="77777777" w:rsidR="00AB6725" w:rsidRPr="00AB6725" w:rsidRDefault="00AB6725" w:rsidP="00AB6725">
            <w:pPr>
              <w:jc w:val="right"/>
              <w:rPr>
                <w:rFonts w:cs="Arial"/>
                <w:color w:val="0070C0"/>
                <w:sz w:val="18"/>
                <w:szCs w:val="18"/>
              </w:rPr>
            </w:pPr>
            <w:r w:rsidRPr="00AB6725">
              <w:rPr>
                <w:rFonts w:cs="Arial"/>
                <w:sz w:val="18"/>
                <w:szCs w:val="18"/>
              </w:rPr>
              <w:t>2049.50</w:t>
            </w:r>
          </w:p>
        </w:tc>
        <w:tc>
          <w:tcPr>
            <w:tcW w:w="1059" w:type="dxa"/>
            <w:tcBorders>
              <w:top w:val="nil"/>
              <w:left w:val="nil"/>
              <w:bottom w:val="single" w:sz="4" w:space="0" w:color="auto"/>
              <w:right w:val="single" w:sz="4" w:space="0" w:color="auto"/>
            </w:tcBorders>
            <w:shd w:val="clear" w:color="auto" w:fill="auto"/>
            <w:noWrap/>
            <w:vAlign w:val="center"/>
            <w:hideMark/>
          </w:tcPr>
          <w:p w14:paraId="36FB7D35" w14:textId="77777777" w:rsidR="00AB6725" w:rsidRPr="00AB6725" w:rsidRDefault="00AB6725" w:rsidP="00AB6725">
            <w:pPr>
              <w:jc w:val="right"/>
              <w:rPr>
                <w:rFonts w:cs="Arial"/>
                <w:color w:val="0070C0"/>
                <w:sz w:val="18"/>
                <w:szCs w:val="18"/>
              </w:rPr>
            </w:pPr>
            <w:r w:rsidRPr="00AB6725">
              <w:rPr>
                <w:rFonts w:cs="Arial"/>
                <w:color w:val="000000"/>
                <w:sz w:val="18"/>
                <w:szCs w:val="18"/>
              </w:rPr>
              <w:t>55,499</w:t>
            </w:r>
          </w:p>
        </w:tc>
        <w:tc>
          <w:tcPr>
            <w:tcW w:w="992" w:type="dxa"/>
            <w:tcBorders>
              <w:top w:val="nil"/>
              <w:left w:val="nil"/>
              <w:bottom w:val="single" w:sz="4" w:space="0" w:color="auto"/>
              <w:right w:val="single" w:sz="4" w:space="0" w:color="auto"/>
            </w:tcBorders>
            <w:shd w:val="clear" w:color="auto" w:fill="auto"/>
            <w:noWrap/>
            <w:vAlign w:val="center"/>
            <w:hideMark/>
          </w:tcPr>
          <w:p w14:paraId="68FF336B" w14:textId="77777777" w:rsidR="00AB6725" w:rsidRPr="00AB6725" w:rsidRDefault="00AB6725" w:rsidP="00AB6725">
            <w:pPr>
              <w:jc w:val="right"/>
              <w:rPr>
                <w:rFonts w:cs="Arial"/>
                <w:color w:val="0070C0"/>
                <w:sz w:val="18"/>
                <w:szCs w:val="18"/>
              </w:rPr>
            </w:pPr>
            <w:r w:rsidRPr="00AB6725">
              <w:rPr>
                <w:rFonts w:cs="Arial"/>
                <w:color w:val="000000"/>
                <w:sz w:val="18"/>
                <w:szCs w:val="18"/>
              </w:rPr>
              <w:t>5,512</w:t>
            </w:r>
          </w:p>
        </w:tc>
        <w:tc>
          <w:tcPr>
            <w:tcW w:w="992" w:type="dxa"/>
            <w:tcBorders>
              <w:top w:val="nil"/>
              <w:left w:val="nil"/>
              <w:bottom w:val="single" w:sz="4" w:space="0" w:color="auto"/>
              <w:right w:val="single" w:sz="4" w:space="0" w:color="auto"/>
            </w:tcBorders>
            <w:shd w:val="clear" w:color="auto" w:fill="auto"/>
            <w:noWrap/>
            <w:vAlign w:val="center"/>
            <w:hideMark/>
          </w:tcPr>
          <w:p w14:paraId="21646F8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61,011</w:t>
            </w:r>
          </w:p>
        </w:tc>
        <w:tc>
          <w:tcPr>
            <w:tcW w:w="1103" w:type="dxa"/>
            <w:tcBorders>
              <w:top w:val="nil"/>
              <w:left w:val="nil"/>
              <w:bottom w:val="single" w:sz="4" w:space="0" w:color="auto"/>
              <w:right w:val="single" w:sz="4" w:space="0" w:color="auto"/>
            </w:tcBorders>
            <w:shd w:val="clear" w:color="auto" w:fill="auto"/>
            <w:noWrap/>
            <w:vAlign w:val="center"/>
            <w:hideMark/>
          </w:tcPr>
          <w:p w14:paraId="251872B4" w14:textId="77777777" w:rsidR="00AB6725" w:rsidRPr="00AB6725" w:rsidRDefault="00AB6725" w:rsidP="00AB6725">
            <w:pPr>
              <w:jc w:val="right"/>
              <w:rPr>
                <w:rFonts w:cs="Arial"/>
                <w:color w:val="0070C0"/>
                <w:sz w:val="18"/>
                <w:szCs w:val="18"/>
              </w:rPr>
            </w:pPr>
            <w:r w:rsidRPr="00AB6725">
              <w:rPr>
                <w:rFonts w:cs="Arial"/>
                <w:color w:val="000000"/>
                <w:sz w:val="18"/>
                <w:szCs w:val="18"/>
              </w:rPr>
              <w:t>-19,102</w:t>
            </w:r>
          </w:p>
        </w:tc>
        <w:tc>
          <w:tcPr>
            <w:tcW w:w="1453" w:type="dxa"/>
            <w:gridSpan w:val="2"/>
            <w:tcBorders>
              <w:top w:val="nil"/>
              <w:left w:val="nil"/>
              <w:bottom w:val="single" w:sz="4" w:space="0" w:color="auto"/>
              <w:right w:val="single" w:sz="4" w:space="0" w:color="auto"/>
            </w:tcBorders>
            <w:shd w:val="clear" w:color="auto" w:fill="auto"/>
            <w:noWrap/>
            <w:vAlign w:val="center"/>
            <w:hideMark/>
          </w:tcPr>
          <w:p w14:paraId="35F52E3F" w14:textId="77777777" w:rsidR="00AB6725" w:rsidRPr="00AB6725" w:rsidRDefault="00AB6725" w:rsidP="00AB6725">
            <w:pPr>
              <w:jc w:val="right"/>
              <w:rPr>
                <w:rFonts w:cs="Arial"/>
                <w:color w:val="0070C0"/>
                <w:sz w:val="18"/>
                <w:szCs w:val="18"/>
              </w:rPr>
            </w:pPr>
            <w:r w:rsidRPr="00AB6725">
              <w:rPr>
                <w:rFonts w:cs="Arial"/>
                <w:color w:val="000000"/>
                <w:sz w:val="18"/>
                <w:szCs w:val="18"/>
              </w:rPr>
              <w:t>-17,760</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9FBEBF9" w14:textId="77777777" w:rsidR="00AB6725" w:rsidRPr="00AB6725" w:rsidRDefault="00AB6725" w:rsidP="00AB6725">
            <w:pPr>
              <w:jc w:val="right"/>
              <w:rPr>
                <w:rFonts w:cs="Arial"/>
                <w:color w:val="0070C0"/>
                <w:sz w:val="18"/>
                <w:szCs w:val="18"/>
              </w:rPr>
            </w:pPr>
            <w:r w:rsidRPr="00AB6725">
              <w:rPr>
                <w:rFonts w:cs="Arial"/>
                <w:color w:val="000000"/>
                <w:sz w:val="18"/>
                <w:szCs w:val="18"/>
              </w:rPr>
              <w:t>-17,701</w:t>
            </w:r>
          </w:p>
        </w:tc>
        <w:tc>
          <w:tcPr>
            <w:tcW w:w="1192" w:type="dxa"/>
            <w:gridSpan w:val="2"/>
            <w:tcBorders>
              <w:top w:val="nil"/>
              <w:left w:val="nil"/>
              <w:bottom w:val="single" w:sz="4" w:space="0" w:color="auto"/>
              <w:right w:val="single" w:sz="4" w:space="0" w:color="auto"/>
            </w:tcBorders>
            <w:shd w:val="clear" w:color="auto" w:fill="auto"/>
            <w:noWrap/>
            <w:vAlign w:val="center"/>
            <w:hideMark/>
          </w:tcPr>
          <w:p w14:paraId="70987510" w14:textId="77777777" w:rsidR="00AB6725" w:rsidRPr="00AB6725" w:rsidRDefault="00AB6725" w:rsidP="00AB6725">
            <w:pPr>
              <w:jc w:val="right"/>
              <w:rPr>
                <w:rFonts w:cs="Arial"/>
                <w:color w:val="0070C0"/>
                <w:sz w:val="18"/>
                <w:szCs w:val="18"/>
              </w:rPr>
            </w:pPr>
            <w:r w:rsidRPr="00AB6725">
              <w:rPr>
                <w:rFonts w:cs="Arial"/>
                <w:color w:val="000000"/>
                <w:sz w:val="18"/>
                <w:szCs w:val="18"/>
              </w:rPr>
              <w:t>-237</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CFDD3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-54,798</w:t>
            </w:r>
          </w:p>
        </w:tc>
        <w:tc>
          <w:tcPr>
            <w:tcW w:w="1417" w:type="dxa"/>
            <w:tcBorders>
              <w:top w:val="nil"/>
              <w:left w:val="nil"/>
              <w:bottom w:val="single" w:sz="4" w:space="0" w:color="auto"/>
              <w:right w:val="single" w:sz="4" w:space="0" w:color="auto"/>
            </w:tcBorders>
            <w:shd w:val="clear" w:color="auto" w:fill="auto"/>
            <w:noWrap/>
            <w:vAlign w:val="center"/>
            <w:hideMark/>
          </w:tcPr>
          <w:p w14:paraId="7865C710" w14:textId="77777777" w:rsidR="00AB6725" w:rsidRPr="00AB6725" w:rsidRDefault="00AB6725" w:rsidP="00AB6725">
            <w:pPr>
              <w:jc w:val="right"/>
              <w:rPr>
                <w:rFonts w:cs="Arial"/>
                <w:color w:val="0070C0"/>
                <w:sz w:val="18"/>
                <w:szCs w:val="18"/>
              </w:rPr>
            </w:pPr>
            <w:r w:rsidRPr="00AB6725">
              <w:rPr>
                <w:rFonts w:cs="Arial"/>
                <w:color w:val="000000"/>
                <w:sz w:val="18"/>
                <w:szCs w:val="18"/>
              </w:rPr>
              <w:t>-8,209</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392B35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-1,996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DF6D444" w14:textId="77777777" w:rsidR="00AB6725" w:rsidRPr="00AB6725" w:rsidRDefault="00AB6725" w:rsidP="00AB6725">
            <w:pPr>
              <w:jc w:val="right"/>
              <w:rPr>
                <w:rFonts w:cs="Arial"/>
                <w:color w:val="0070C0"/>
                <w:sz w:val="18"/>
                <w:szCs w:val="18"/>
              </w:rPr>
            </w:pPr>
            <w:r w:rsidRPr="00AB6725">
              <w:rPr>
                <w:rFonts w:cs="Arial"/>
                <w:color w:val="000000"/>
                <w:sz w:val="18"/>
                <w:szCs w:val="18"/>
              </w:rPr>
              <w:t>27,085</w:t>
            </w:r>
          </w:p>
        </w:tc>
        <w:tc>
          <w:tcPr>
            <w:tcW w:w="1134" w:type="dxa"/>
            <w:tcBorders>
              <w:top w:val="nil"/>
              <w:left w:val="nil"/>
              <w:bottom w:val="single" w:sz="4" w:space="0" w:color="auto"/>
              <w:right w:val="single" w:sz="4" w:space="0" w:color="auto"/>
            </w:tcBorders>
            <w:shd w:val="clear" w:color="auto" w:fill="auto"/>
            <w:noWrap/>
            <w:vAlign w:val="center"/>
          </w:tcPr>
          <w:p w14:paraId="613A0F7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25,089</w:t>
            </w:r>
          </w:p>
        </w:tc>
      </w:tr>
    </w:tbl>
    <w:p w14:paraId="45288DB3" w14:textId="7DB2F534" w:rsidR="00AB6725" w:rsidRPr="00AB6725" w:rsidRDefault="00AB6725" w:rsidP="00AB6725">
      <w:pPr>
        <w:rPr>
          <w:rFonts w:cs="Arial"/>
          <w:b/>
          <w:szCs w:val="24"/>
        </w:rPr>
      </w:pPr>
      <w:r w:rsidRPr="00AB6725">
        <w:rPr>
          <w:rFonts w:cs="Arial"/>
          <w:b/>
          <w:szCs w:val="24"/>
        </w:rPr>
        <w:lastRenderedPageBreak/>
        <w:t>Appendix 3</w:t>
      </w:r>
      <w:r w:rsidR="00F00F23">
        <w:rPr>
          <w:rFonts w:cs="Arial"/>
          <w:b/>
          <w:szCs w:val="24"/>
        </w:rPr>
        <w:t>:</w:t>
      </w:r>
      <w:r w:rsidRPr="00AB6725">
        <w:rPr>
          <w:rFonts w:cs="Arial"/>
          <w:b/>
          <w:szCs w:val="24"/>
        </w:rPr>
        <w:t xml:space="preserve"> HRA Capital account projections</w:t>
      </w:r>
    </w:p>
    <w:p w14:paraId="3FD0DEC0" w14:textId="77777777" w:rsidR="00AB6725" w:rsidRPr="00AB6725" w:rsidRDefault="00AB6725" w:rsidP="00AB6725">
      <w:pPr>
        <w:rPr>
          <w:rFonts w:cs="Arial"/>
          <w:b/>
          <w:color w:val="0070C0"/>
          <w:sz w:val="18"/>
          <w:szCs w:val="18"/>
        </w:rPr>
      </w:pPr>
    </w:p>
    <w:tbl>
      <w:tblPr>
        <w:tblW w:w="14467" w:type="dxa"/>
        <w:tblLook w:val="04A0" w:firstRow="1" w:lastRow="0" w:firstColumn="1" w:lastColumn="0" w:noHBand="0" w:noVBand="1"/>
      </w:tblPr>
      <w:tblGrid>
        <w:gridCol w:w="1300"/>
        <w:gridCol w:w="1300"/>
        <w:gridCol w:w="1347"/>
        <w:gridCol w:w="1420"/>
        <w:gridCol w:w="1300"/>
        <w:gridCol w:w="1300"/>
        <w:gridCol w:w="1300"/>
        <w:gridCol w:w="1300"/>
        <w:gridCol w:w="1300"/>
        <w:gridCol w:w="1300"/>
        <w:gridCol w:w="1300"/>
      </w:tblGrid>
      <w:tr w:rsidR="00AB6725" w:rsidRPr="00AB6725" w14:paraId="6D7F65AC" w14:textId="77777777" w:rsidTr="0082610E">
        <w:trPr>
          <w:trHeight w:hRule="exact" w:val="284"/>
        </w:trPr>
        <w:tc>
          <w:tcPr>
            <w:tcW w:w="53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E339B" w14:textId="77777777" w:rsidR="00AB6725" w:rsidRPr="00AB6725" w:rsidRDefault="00AB6725" w:rsidP="00AB6725">
            <w:pPr>
              <w:jc w:val="center"/>
              <w:rPr>
                <w:rFonts w:cs="Arial"/>
                <w:b/>
                <w:bCs/>
                <w:sz w:val="18"/>
                <w:szCs w:val="18"/>
                <w:lang w:eastAsia="en-GB"/>
              </w:rPr>
            </w:pPr>
            <w:r w:rsidRPr="00AB6725">
              <w:rPr>
                <w:rFonts w:cs="Arial"/>
                <w:b/>
                <w:bCs/>
                <w:sz w:val="18"/>
                <w:szCs w:val="18"/>
                <w:lang w:eastAsia="en-GB"/>
              </w:rPr>
              <w:t>Expenditure</w:t>
            </w:r>
          </w:p>
        </w:tc>
        <w:tc>
          <w:tcPr>
            <w:tcW w:w="910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50EA292" w14:textId="77777777" w:rsidR="00AB6725" w:rsidRPr="00AB6725" w:rsidRDefault="00AB6725" w:rsidP="00AB6725">
            <w:pPr>
              <w:jc w:val="center"/>
              <w:rPr>
                <w:rFonts w:cs="Arial"/>
                <w:b/>
                <w:bCs/>
                <w:sz w:val="18"/>
                <w:szCs w:val="18"/>
                <w:lang w:eastAsia="en-GB"/>
              </w:rPr>
            </w:pPr>
            <w:r w:rsidRPr="00AB6725">
              <w:rPr>
                <w:rFonts w:cs="Arial"/>
                <w:b/>
                <w:bCs/>
                <w:sz w:val="18"/>
                <w:szCs w:val="18"/>
                <w:lang w:eastAsia="en-GB"/>
              </w:rPr>
              <w:t>Financing</w:t>
            </w:r>
          </w:p>
        </w:tc>
      </w:tr>
      <w:tr w:rsidR="00AB6725" w:rsidRPr="00AB6725" w14:paraId="630705DD" w14:textId="77777777" w:rsidTr="0082610E">
        <w:trPr>
          <w:trHeight w:hRule="exact" w:val="443"/>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B6C5EE3" w14:textId="77777777" w:rsidR="00AB6725" w:rsidRPr="00AB6725" w:rsidRDefault="00AB6725" w:rsidP="00AB6725">
            <w:pPr>
              <w:rPr>
                <w:rFonts w:cs="Arial"/>
                <w:b/>
                <w:bCs/>
                <w:sz w:val="18"/>
                <w:szCs w:val="18"/>
                <w:lang w:eastAsia="en-GB"/>
              </w:rPr>
            </w:pPr>
            <w:r w:rsidRPr="00AB6725">
              <w:rPr>
                <w:rFonts w:cs="Arial"/>
                <w:b/>
                <w:bCs/>
                <w:sz w:val="18"/>
                <w:szCs w:val="18"/>
                <w:lang w:eastAsia="en-GB"/>
              </w:rPr>
              <w:t>£'000s / Year</w:t>
            </w:r>
          </w:p>
        </w:tc>
        <w:tc>
          <w:tcPr>
            <w:tcW w:w="1300" w:type="dxa"/>
            <w:tcBorders>
              <w:top w:val="nil"/>
              <w:left w:val="nil"/>
              <w:bottom w:val="single" w:sz="4" w:space="0" w:color="auto"/>
              <w:right w:val="single" w:sz="4" w:space="0" w:color="auto"/>
            </w:tcBorders>
            <w:shd w:val="clear" w:color="auto" w:fill="auto"/>
            <w:vAlign w:val="center"/>
            <w:hideMark/>
          </w:tcPr>
          <w:p w14:paraId="1780F76B"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Major Works &amp; Imps</w:t>
            </w:r>
          </w:p>
        </w:tc>
        <w:tc>
          <w:tcPr>
            <w:tcW w:w="1347" w:type="dxa"/>
            <w:tcBorders>
              <w:top w:val="nil"/>
              <w:left w:val="nil"/>
              <w:bottom w:val="single" w:sz="4" w:space="0" w:color="auto"/>
              <w:right w:val="single" w:sz="4" w:space="0" w:color="auto"/>
            </w:tcBorders>
            <w:shd w:val="clear" w:color="auto" w:fill="auto"/>
            <w:vAlign w:val="center"/>
            <w:hideMark/>
          </w:tcPr>
          <w:p w14:paraId="49A08C40"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New Build  Development Costs</w:t>
            </w:r>
          </w:p>
        </w:tc>
        <w:tc>
          <w:tcPr>
            <w:tcW w:w="1420" w:type="dxa"/>
            <w:tcBorders>
              <w:top w:val="nil"/>
              <w:left w:val="nil"/>
              <w:bottom w:val="single" w:sz="4" w:space="0" w:color="auto"/>
              <w:right w:val="single" w:sz="4" w:space="0" w:color="auto"/>
            </w:tcBorders>
            <w:shd w:val="clear" w:color="auto" w:fill="auto"/>
            <w:vAlign w:val="center"/>
            <w:hideMark/>
          </w:tcPr>
          <w:p w14:paraId="2F315EEC"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Total Expenditure</w:t>
            </w:r>
          </w:p>
        </w:tc>
        <w:tc>
          <w:tcPr>
            <w:tcW w:w="1300" w:type="dxa"/>
            <w:tcBorders>
              <w:top w:val="nil"/>
              <w:left w:val="nil"/>
              <w:bottom w:val="single" w:sz="4" w:space="0" w:color="auto"/>
              <w:right w:val="single" w:sz="4" w:space="0" w:color="auto"/>
            </w:tcBorders>
            <w:shd w:val="clear" w:color="auto" w:fill="auto"/>
            <w:vAlign w:val="center"/>
            <w:hideMark/>
          </w:tcPr>
          <w:p w14:paraId="14135E40"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Borrowing</w:t>
            </w:r>
          </w:p>
        </w:tc>
        <w:tc>
          <w:tcPr>
            <w:tcW w:w="1300" w:type="dxa"/>
            <w:tcBorders>
              <w:top w:val="nil"/>
              <w:left w:val="nil"/>
              <w:bottom w:val="single" w:sz="4" w:space="0" w:color="auto"/>
              <w:right w:val="single" w:sz="4" w:space="0" w:color="auto"/>
            </w:tcBorders>
            <w:shd w:val="clear" w:color="auto" w:fill="auto"/>
            <w:vAlign w:val="center"/>
            <w:hideMark/>
          </w:tcPr>
          <w:p w14:paraId="461380E9"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RTB 141 Receipts</w:t>
            </w:r>
          </w:p>
        </w:tc>
        <w:tc>
          <w:tcPr>
            <w:tcW w:w="1300" w:type="dxa"/>
            <w:tcBorders>
              <w:top w:val="nil"/>
              <w:left w:val="nil"/>
              <w:bottom w:val="single" w:sz="4" w:space="0" w:color="auto"/>
              <w:right w:val="single" w:sz="4" w:space="0" w:color="auto"/>
            </w:tcBorders>
            <w:shd w:val="clear" w:color="auto" w:fill="auto"/>
            <w:vAlign w:val="center"/>
            <w:hideMark/>
          </w:tcPr>
          <w:p w14:paraId="7545454E"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Other RTB Receipts</w:t>
            </w:r>
          </w:p>
        </w:tc>
        <w:tc>
          <w:tcPr>
            <w:tcW w:w="1300" w:type="dxa"/>
            <w:tcBorders>
              <w:top w:val="nil"/>
              <w:left w:val="nil"/>
              <w:bottom w:val="single" w:sz="4" w:space="0" w:color="auto"/>
              <w:right w:val="single" w:sz="4" w:space="0" w:color="auto"/>
            </w:tcBorders>
            <w:shd w:val="clear" w:color="auto" w:fill="auto"/>
            <w:vAlign w:val="center"/>
            <w:hideMark/>
          </w:tcPr>
          <w:p w14:paraId="7D80B94B"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Other</w:t>
            </w:r>
          </w:p>
        </w:tc>
        <w:tc>
          <w:tcPr>
            <w:tcW w:w="1300" w:type="dxa"/>
            <w:tcBorders>
              <w:top w:val="nil"/>
              <w:left w:val="nil"/>
              <w:bottom w:val="single" w:sz="4" w:space="0" w:color="auto"/>
              <w:right w:val="single" w:sz="4" w:space="0" w:color="auto"/>
            </w:tcBorders>
            <w:shd w:val="clear" w:color="auto" w:fill="auto"/>
            <w:vAlign w:val="center"/>
            <w:hideMark/>
          </w:tcPr>
          <w:p w14:paraId="4E516B1B"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MRR</w:t>
            </w:r>
          </w:p>
        </w:tc>
        <w:tc>
          <w:tcPr>
            <w:tcW w:w="1300" w:type="dxa"/>
            <w:tcBorders>
              <w:top w:val="nil"/>
              <w:left w:val="nil"/>
              <w:bottom w:val="single" w:sz="4" w:space="0" w:color="auto"/>
              <w:right w:val="single" w:sz="4" w:space="0" w:color="auto"/>
            </w:tcBorders>
            <w:shd w:val="clear" w:color="auto" w:fill="auto"/>
            <w:vAlign w:val="center"/>
            <w:hideMark/>
          </w:tcPr>
          <w:p w14:paraId="2486C433"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RCCO</w:t>
            </w:r>
          </w:p>
        </w:tc>
        <w:tc>
          <w:tcPr>
            <w:tcW w:w="1300" w:type="dxa"/>
            <w:tcBorders>
              <w:top w:val="nil"/>
              <w:left w:val="nil"/>
              <w:bottom w:val="single" w:sz="4" w:space="0" w:color="auto"/>
              <w:right w:val="single" w:sz="4" w:space="0" w:color="auto"/>
            </w:tcBorders>
            <w:shd w:val="clear" w:color="auto" w:fill="auto"/>
            <w:vAlign w:val="center"/>
            <w:hideMark/>
          </w:tcPr>
          <w:p w14:paraId="6121A6C0" w14:textId="77777777" w:rsidR="00AB6725" w:rsidRPr="00AB6725" w:rsidRDefault="00AB6725" w:rsidP="00AB6725">
            <w:pPr>
              <w:jc w:val="right"/>
              <w:rPr>
                <w:rFonts w:cs="Arial"/>
                <w:b/>
                <w:bCs/>
                <w:sz w:val="18"/>
                <w:szCs w:val="18"/>
                <w:lang w:eastAsia="en-GB"/>
              </w:rPr>
            </w:pPr>
            <w:r w:rsidRPr="00AB6725">
              <w:rPr>
                <w:rFonts w:cs="Arial"/>
                <w:b/>
                <w:bCs/>
                <w:sz w:val="18"/>
                <w:szCs w:val="18"/>
                <w:lang w:eastAsia="en-GB"/>
              </w:rPr>
              <w:t>Total Financing</w:t>
            </w:r>
          </w:p>
        </w:tc>
      </w:tr>
      <w:tr w:rsidR="00AB6725" w:rsidRPr="00AB6725" w14:paraId="221411F9" w14:textId="77777777" w:rsidTr="0082610E">
        <w:trPr>
          <w:trHeight w:hRule="exact" w:val="284"/>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E1A1" w14:textId="77777777" w:rsidR="00AB6725" w:rsidRPr="00AB6725" w:rsidRDefault="00AB6725" w:rsidP="00AB6725">
            <w:pPr>
              <w:rPr>
                <w:rFonts w:cs="Arial"/>
                <w:color w:val="0070C0"/>
                <w:sz w:val="18"/>
                <w:szCs w:val="18"/>
                <w:lang w:eastAsia="en-GB"/>
              </w:rPr>
            </w:pPr>
            <w:r w:rsidRPr="00AB6725">
              <w:rPr>
                <w:rFonts w:cs="Arial"/>
                <w:sz w:val="18"/>
                <w:szCs w:val="18"/>
              </w:rPr>
              <w:t>2020.21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B749801" w14:textId="77777777" w:rsidR="00AB6725" w:rsidRPr="00AB6725" w:rsidRDefault="00AB6725" w:rsidP="00AB6725">
            <w:pPr>
              <w:jc w:val="right"/>
              <w:rPr>
                <w:rFonts w:cs="Arial"/>
                <w:color w:val="0070C0"/>
                <w:sz w:val="18"/>
                <w:szCs w:val="18"/>
              </w:rPr>
            </w:pPr>
            <w:r w:rsidRPr="00AB6725">
              <w:rPr>
                <w:rFonts w:cs="Arial"/>
                <w:sz w:val="18"/>
                <w:szCs w:val="18"/>
              </w:rPr>
              <w:t>10,153</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14:paraId="42F8593F" w14:textId="77777777" w:rsidR="00AB6725" w:rsidRPr="00AB6725" w:rsidRDefault="00AB6725" w:rsidP="00AB6725">
            <w:pPr>
              <w:jc w:val="right"/>
              <w:rPr>
                <w:rFonts w:cs="Arial"/>
                <w:color w:val="0070C0"/>
                <w:sz w:val="18"/>
                <w:szCs w:val="18"/>
              </w:rPr>
            </w:pPr>
            <w:r w:rsidRPr="00AB6725">
              <w:rPr>
                <w:rFonts w:cs="Arial"/>
                <w:sz w:val="18"/>
                <w:szCs w:val="18"/>
              </w:rPr>
              <w:t>24,601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C849B88" w14:textId="77777777" w:rsidR="00AB6725" w:rsidRPr="00AB6725" w:rsidRDefault="00AB6725" w:rsidP="00AB6725">
            <w:pPr>
              <w:jc w:val="right"/>
              <w:rPr>
                <w:rFonts w:cs="Arial"/>
                <w:color w:val="0070C0"/>
                <w:sz w:val="18"/>
                <w:szCs w:val="18"/>
              </w:rPr>
            </w:pPr>
            <w:r w:rsidRPr="00AB6725">
              <w:rPr>
                <w:rFonts w:cs="Arial"/>
                <w:b/>
                <w:bCs/>
                <w:sz w:val="18"/>
                <w:szCs w:val="18"/>
              </w:rPr>
              <w:t>34,754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64F7B7D" w14:textId="77777777" w:rsidR="00AB6725" w:rsidRPr="00AB6725" w:rsidRDefault="00AB6725" w:rsidP="00AB6725">
            <w:pPr>
              <w:jc w:val="right"/>
              <w:rPr>
                <w:rFonts w:cs="Arial"/>
                <w:color w:val="0070C0"/>
                <w:sz w:val="18"/>
                <w:szCs w:val="18"/>
              </w:rPr>
            </w:pPr>
            <w:r w:rsidRPr="00AB6725">
              <w:rPr>
                <w:rFonts w:cs="Arial"/>
                <w:sz w:val="18"/>
                <w:szCs w:val="18"/>
              </w:rPr>
              <w:t>4,249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2411E0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72A1EE1" w14:textId="77777777" w:rsidR="00AB6725" w:rsidRPr="00AB6725" w:rsidRDefault="00AB6725" w:rsidP="00AB6725">
            <w:pPr>
              <w:jc w:val="right"/>
              <w:rPr>
                <w:rFonts w:cs="Arial"/>
                <w:color w:val="0070C0"/>
                <w:sz w:val="18"/>
                <w:szCs w:val="18"/>
              </w:rPr>
            </w:pPr>
            <w:r w:rsidRPr="00AB6725">
              <w:rPr>
                <w:rFonts w:cs="Arial"/>
                <w:color w:val="000000"/>
                <w:sz w:val="18"/>
                <w:szCs w:val="18"/>
              </w:rPr>
              <w:t>782.3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5EF6EE3" w14:textId="77777777" w:rsidR="00AB6725" w:rsidRPr="00AB6725" w:rsidRDefault="00AB6725" w:rsidP="00AB6725">
            <w:pPr>
              <w:jc w:val="right"/>
              <w:rPr>
                <w:rFonts w:cs="Arial"/>
                <w:color w:val="0070C0"/>
                <w:sz w:val="18"/>
                <w:szCs w:val="18"/>
              </w:rPr>
            </w:pPr>
            <w:r w:rsidRPr="00AB6725">
              <w:rPr>
                <w:rFonts w:cs="Arial"/>
                <w:color w:val="000000"/>
                <w:sz w:val="18"/>
                <w:szCs w:val="18"/>
              </w:rPr>
              <w:t>14,362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D7DE072" w14:textId="77777777" w:rsidR="00AB6725" w:rsidRPr="00AB6725" w:rsidRDefault="00AB6725" w:rsidP="00AB6725">
            <w:pPr>
              <w:jc w:val="right"/>
              <w:rPr>
                <w:rFonts w:cs="Arial"/>
                <w:color w:val="0070C0"/>
                <w:sz w:val="18"/>
                <w:szCs w:val="18"/>
              </w:rPr>
            </w:pPr>
            <w:r w:rsidRPr="00AB6725">
              <w:rPr>
                <w:rFonts w:cs="Arial"/>
                <w:color w:val="000000"/>
                <w:sz w:val="18"/>
                <w:szCs w:val="18"/>
              </w:rPr>
              <w:t>14,860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118310F" w14:textId="77777777" w:rsidR="00AB6725" w:rsidRPr="00AB6725" w:rsidRDefault="00AB6725" w:rsidP="00AB6725">
            <w:pPr>
              <w:jc w:val="right"/>
              <w:rPr>
                <w:rFonts w:cs="Arial"/>
                <w:color w:val="0070C0"/>
                <w:sz w:val="18"/>
                <w:szCs w:val="18"/>
              </w:rPr>
            </w:pPr>
            <w:r w:rsidRPr="00AB6725">
              <w:rPr>
                <w:rFonts w:cs="Arial"/>
                <w:color w:val="000000"/>
                <w:sz w:val="18"/>
                <w:szCs w:val="18"/>
              </w:rPr>
              <w:t>500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81ED668"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34,754</w:t>
            </w:r>
          </w:p>
        </w:tc>
      </w:tr>
      <w:tr w:rsidR="00AB6725" w:rsidRPr="00AB6725" w14:paraId="717924FC"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7024E27" w14:textId="77777777" w:rsidR="00AB6725" w:rsidRPr="00AB6725" w:rsidRDefault="00AB6725" w:rsidP="00AB6725">
            <w:pPr>
              <w:rPr>
                <w:rFonts w:cs="Arial"/>
                <w:color w:val="0070C0"/>
                <w:sz w:val="18"/>
                <w:szCs w:val="18"/>
                <w:lang w:eastAsia="en-GB"/>
              </w:rPr>
            </w:pPr>
            <w:r w:rsidRPr="00AB6725">
              <w:rPr>
                <w:rFonts w:cs="Arial"/>
                <w:sz w:val="18"/>
                <w:szCs w:val="18"/>
              </w:rPr>
              <w:t>2021.22</w:t>
            </w:r>
          </w:p>
        </w:tc>
        <w:tc>
          <w:tcPr>
            <w:tcW w:w="1300" w:type="dxa"/>
            <w:tcBorders>
              <w:top w:val="nil"/>
              <w:left w:val="nil"/>
              <w:bottom w:val="single" w:sz="4" w:space="0" w:color="auto"/>
              <w:right w:val="single" w:sz="4" w:space="0" w:color="auto"/>
            </w:tcBorders>
            <w:shd w:val="clear" w:color="auto" w:fill="auto"/>
            <w:noWrap/>
            <w:vAlign w:val="center"/>
            <w:hideMark/>
          </w:tcPr>
          <w:p w14:paraId="2E7D200F" w14:textId="77777777" w:rsidR="00AB6725" w:rsidRPr="00AB6725" w:rsidRDefault="00AB6725" w:rsidP="00AB6725">
            <w:pPr>
              <w:jc w:val="right"/>
              <w:rPr>
                <w:rFonts w:cs="Arial"/>
                <w:color w:val="0070C0"/>
                <w:sz w:val="18"/>
                <w:szCs w:val="18"/>
              </w:rPr>
            </w:pPr>
            <w:r w:rsidRPr="00AB6725">
              <w:rPr>
                <w:rFonts w:cs="Arial"/>
                <w:sz w:val="18"/>
                <w:szCs w:val="18"/>
              </w:rPr>
              <w:t>5,296</w:t>
            </w:r>
          </w:p>
        </w:tc>
        <w:tc>
          <w:tcPr>
            <w:tcW w:w="1347" w:type="dxa"/>
            <w:tcBorders>
              <w:top w:val="nil"/>
              <w:left w:val="nil"/>
              <w:bottom w:val="single" w:sz="4" w:space="0" w:color="auto"/>
              <w:right w:val="single" w:sz="4" w:space="0" w:color="auto"/>
            </w:tcBorders>
            <w:shd w:val="clear" w:color="auto" w:fill="auto"/>
            <w:noWrap/>
            <w:vAlign w:val="center"/>
            <w:hideMark/>
          </w:tcPr>
          <w:p w14:paraId="1143BCE3" w14:textId="77777777" w:rsidR="00AB6725" w:rsidRPr="00AB6725" w:rsidRDefault="00AB6725" w:rsidP="00AB6725">
            <w:pPr>
              <w:jc w:val="right"/>
              <w:rPr>
                <w:rFonts w:cs="Arial"/>
                <w:color w:val="0070C0"/>
                <w:sz w:val="18"/>
                <w:szCs w:val="18"/>
              </w:rPr>
            </w:pPr>
            <w:r w:rsidRPr="00AB6725">
              <w:rPr>
                <w:rFonts w:cs="Arial"/>
                <w:sz w:val="18"/>
                <w:szCs w:val="18"/>
              </w:rPr>
              <w:t>28,861</w:t>
            </w:r>
          </w:p>
        </w:tc>
        <w:tc>
          <w:tcPr>
            <w:tcW w:w="1420" w:type="dxa"/>
            <w:tcBorders>
              <w:top w:val="nil"/>
              <w:left w:val="nil"/>
              <w:bottom w:val="single" w:sz="4" w:space="0" w:color="auto"/>
              <w:right w:val="single" w:sz="4" w:space="0" w:color="auto"/>
            </w:tcBorders>
            <w:shd w:val="clear" w:color="auto" w:fill="auto"/>
            <w:noWrap/>
            <w:vAlign w:val="center"/>
            <w:hideMark/>
          </w:tcPr>
          <w:p w14:paraId="6EB21758" w14:textId="77777777" w:rsidR="00AB6725" w:rsidRPr="00AB6725" w:rsidRDefault="00AB6725" w:rsidP="00AB6725">
            <w:pPr>
              <w:jc w:val="right"/>
              <w:rPr>
                <w:rFonts w:cs="Arial"/>
                <w:color w:val="0070C0"/>
                <w:sz w:val="18"/>
                <w:szCs w:val="18"/>
              </w:rPr>
            </w:pPr>
            <w:r w:rsidRPr="00AB6725">
              <w:rPr>
                <w:rFonts w:cs="Arial"/>
                <w:b/>
                <w:bCs/>
                <w:sz w:val="18"/>
                <w:szCs w:val="18"/>
              </w:rPr>
              <w:t>34,157</w:t>
            </w:r>
          </w:p>
        </w:tc>
        <w:tc>
          <w:tcPr>
            <w:tcW w:w="1300" w:type="dxa"/>
            <w:tcBorders>
              <w:top w:val="nil"/>
              <w:left w:val="nil"/>
              <w:bottom w:val="single" w:sz="4" w:space="0" w:color="auto"/>
              <w:right w:val="single" w:sz="4" w:space="0" w:color="auto"/>
            </w:tcBorders>
            <w:shd w:val="clear" w:color="auto" w:fill="auto"/>
            <w:noWrap/>
            <w:vAlign w:val="center"/>
            <w:hideMark/>
          </w:tcPr>
          <w:p w14:paraId="413684BA" w14:textId="77777777" w:rsidR="00AB6725" w:rsidRPr="00AB6725" w:rsidRDefault="00AB6725" w:rsidP="00AB6725">
            <w:pPr>
              <w:jc w:val="right"/>
              <w:rPr>
                <w:rFonts w:cs="Arial"/>
                <w:color w:val="0070C0"/>
                <w:sz w:val="18"/>
                <w:szCs w:val="18"/>
              </w:rPr>
            </w:pPr>
            <w:r w:rsidRPr="00AB6725">
              <w:rPr>
                <w:rFonts w:cs="Arial"/>
                <w:sz w:val="18"/>
                <w:szCs w:val="18"/>
              </w:rPr>
              <w:t>10,440</w:t>
            </w:r>
          </w:p>
        </w:tc>
        <w:tc>
          <w:tcPr>
            <w:tcW w:w="1300" w:type="dxa"/>
            <w:tcBorders>
              <w:top w:val="nil"/>
              <w:left w:val="nil"/>
              <w:bottom w:val="single" w:sz="4" w:space="0" w:color="auto"/>
              <w:right w:val="single" w:sz="4" w:space="0" w:color="auto"/>
            </w:tcBorders>
            <w:shd w:val="clear" w:color="auto" w:fill="auto"/>
            <w:noWrap/>
            <w:vAlign w:val="center"/>
            <w:hideMark/>
          </w:tcPr>
          <w:p w14:paraId="638EB3DA" w14:textId="77777777" w:rsidR="00AB6725" w:rsidRPr="00AB6725" w:rsidRDefault="00AB6725" w:rsidP="00AB6725">
            <w:pPr>
              <w:jc w:val="right"/>
              <w:rPr>
                <w:rFonts w:cs="Arial"/>
                <w:color w:val="0070C0"/>
                <w:sz w:val="18"/>
                <w:szCs w:val="18"/>
              </w:rPr>
            </w:pPr>
            <w:r w:rsidRPr="00AB6725">
              <w:rPr>
                <w:rFonts w:cs="Arial"/>
                <w:color w:val="000000"/>
                <w:sz w:val="18"/>
                <w:szCs w:val="18"/>
              </w:rPr>
              <w:t>280</w:t>
            </w:r>
          </w:p>
        </w:tc>
        <w:tc>
          <w:tcPr>
            <w:tcW w:w="1300" w:type="dxa"/>
            <w:tcBorders>
              <w:top w:val="nil"/>
              <w:left w:val="nil"/>
              <w:bottom w:val="single" w:sz="4" w:space="0" w:color="auto"/>
              <w:right w:val="single" w:sz="4" w:space="0" w:color="auto"/>
            </w:tcBorders>
            <w:shd w:val="clear" w:color="auto" w:fill="auto"/>
            <w:noWrap/>
            <w:vAlign w:val="center"/>
            <w:hideMark/>
          </w:tcPr>
          <w:p w14:paraId="74969BB1" w14:textId="77777777" w:rsidR="00AB6725" w:rsidRPr="00AB6725" w:rsidRDefault="00AB6725" w:rsidP="00AB6725">
            <w:pPr>
              <w:jc w:val="right"/>
              <w:rPr>
                <w:rFonts w:cs="Arial"/>
                <w:color w:val="0070C0"/>
                <w:sz w:val="18"/>
                <w:szCs w:val="18"/>
              </w:rPr>
            </w:pPr>
            <w:r w:rsidRPr="00AB6725">
              <w:rPr>
                <w:rFonts w:cs="Arial"/>
                <w:color w:val="000000"/>
                <w:sz w:val="18"/>
                <w:szCs w:val="18"/>
              </w:rPr>
              <w:t>1039</w:t>
            </w:r>
          </w:p>
        </w:tc>
        <w:tc>
          <w:tcPr>
            <w:tcW w:w="1300" w:type="dxa"/>
            <w:tcBorders>
              <w:top w:val="nil"/>
              <w:left w:val="nil"/>
              <w:bottom w:val="single" w:sz="4" w:space="0" w:color="auto"/>
              <w:right w:val="single" w:sz="4" w:space="0" w:color="auto"/>
            </w:tcBorders>
            <w:shd w:val="clear" w:color="auto" w:fill="auto"/>
            <w:noWrap/>
            <w:vAlign w:val="center"/>
            <w:hideMark/>
          </w:tcPr>
          <w:p w14:paraId="50DFCBE9" w14:textId="77777777" w:rsidR="00AB6725" w:rsidRPr="00AB6725" w:rsidRDefault="00AB6725" w:rsidP="00AB6725">
            <w:pPr>
              <w:jc w:val="right"/>
              <w:rPr>
                <w:rFonts w:cs="Arial"/>
                <w:color w:val="0070C0"/>
                <w:sz w:val="18"/>
                <w:szCs w:val="18"/>
              </w:rPr>
            </w:pPr>
            <w:r w:rsidRPr="00AB6725">
              <w:rPr>
                <w:rFonts w:cs="Arial"/>
                <w:color w:val="000000"/>
                <w:sz w:val="18"/>
                <w:szCs w:val="18"/>
              </w:rPr>
              <w:t>15,115</w:t>
            </w:r>
          </w:p>
        </w:tc>
        <w:tc>
          <w:tcPr>
            <w:tcW w:w="1300" w:type="dxa"/>
            <w:tcBorders>
              <w:top w:val="nil"/>
              <w:left w:val="nil"/>
              <w:bottom w:val="single" w:sz="4" w:space="0" w:color="auto"/>
              <w:right w:val="single" w:sz="4" w:space="0" w:color="auto"/>
            </w:tcBorders>
            <w:shd w:val="clear" w:color="auto" w:fill="auto"/>
            <w:noWrap/>
            <w:vAlign w:val="center"/>
            <w:hideMark/>
          </w:tcPr>
          <w:p w14:paraId="349E982A" w14:textId="77777777" w:rsidR="00AB6725" w:rsidRPr="00AB6725" w:rsidRDefault="00AB6725" w:rsidP="00AB6725">
            <w:pPr>
              <w:jc w:val="right"/>
              <w:rPr>
                <w:rFonts w:cs="Arial"/>
                <w:color w:val="0070C0"/>
                <w:sz w:val="18"/>
                <w:szCs w:val="18"/>
              </w:rPr>
            </w:pPr>
            <w:r w:rsidRPr="00AB6725">
              <w:rPr>
                <w:rFonts w:cs="Arial"/>
                <w:color w:val="000000"/>
                <w:sz w:val="18"/>
                <w:szCs w:val="18"/>
              </w:rPr>
              <w:t>7,283</w:t>
            </w:r>
          </w:p>
        </w:tc>
        <w:tc>
          <w:tcPr>
            <w:tcW w:w="1300" w:type="dxa"/>
            <w:tcBorders>
              <w:top w:val="nil"/>
              <w:left w:val="nil"/>
              <w:bottom w:val="single" w:sz="4" w:space="0" w:color="auto"/>
              <w:right w:val="single" w:sz="4" w:space="0" w:color="auto"/>
            </w:tcBorders>
            <w:shd w:val="clear" w:color="auto" w:fill="auto"/>
            <w:noWrap/>
            <w:vAlign w:val="center"/>
            <w:hideMark/>
          </w:tcPr>
          <w:p w14:paraId="43405A06"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6CA7F0F"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34,157</w:t>
            </w:r>
          </w:p>
        </w:tc>
      </w:tr>
      <w:tr w:rsidR="00AB6725" w:rsidRPr="00AB6725" w14:paraId="038BEDE4"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F8CBCC6" w14:textId="77777777" w:rsidR="00AB6725" w:rsidRPr="00AB6725" w:rsidRDefault="00AB6725" w:rsidP="00AB6725">
            <w:pPr>
              <w:rPr>
                <w:rFonts w:cs="Arial"/>
                <w:color w:val="0070C0"/>
                <w:sz w:val="18"/>
                <w:szCs w:val="18"/>
                <w:lang w:eastAsia="en-GB"/>
              </w:rPr>
            </w:pPr>
            <w:r w:rsidRPr="00AB6725">
              <w:rPr>
                <w:rFonts w:cs="Arial"/>
                <w:sz w:val="18"/>
                <w:szCs w:val="18"/>
              </w:rPr>
              <w:t>2022.23</w:t>
            </w:r>
          </w:p>
        </w:tc>
        <w:tc>
          <w:tcPr>
            <w:tcW w:w="1300" w:type="dxa"/>
            <w:tcBorders>
              <w:top w:val="nil"/>
              <w:left w:val="nil"/>
              <w:bottom w:val="single" w:sz="4" w:space="0" w:color="auto"/>
              <w:right w:val="single" w:sz="4" w:space="0" w:color="auto"/>
            </w:tcBorders>
            <w:shd w:val="clear" w:color="auto" w:fill="auto"/>
            <w:noWrap/>
            <w:vAlign w:val="center"/>
            <w:hideMark/>
          </w:tcPr>
          <w:p w14:paraId="6532E10D" w14:textId="77777777" w:rsidR="00AB6725" w:rsidRPr="00AB6725" w:rsidRDefault="00AB6725" w:rsidP="00AB6725">
            <w:pPr>
              <w:jc w:val="right"/>
              <w:rPr>
                <w:rFonts w:cs="Arial"/>
                <w:color w:val="0070C0"/>
                <w:sz w:val="18"/>
                <w:szCs w:val="18"/>
              </w:rPr>
            </w:pPr>
            <w:r w:rsidRPr="00AB6725">
              <w:rPr>
                <w:rFonts w:cs="Arial"/>
                <w:sz w:val="18"/>
                <w:szCs w:val="18"/>
              </w:rPr>
              <w:t>5,447</w:t>
            </w:r>
          </w:p>
        </w:tc>
        <w:tc>
          <w:tcPr>
            <w:tcW w:w="1347" w:type="dxa"/>
            <w:tcBorders>
              <w:top w:val="nil"/>
              <w:left w:val="nil"/>
              <w:bottom w:val="single" w:sz="4" w:space="0" w:color="auto"/>
              <w:right w:val="single" w:sz="4" w:space="0" w:color="auto"/>
            </w:tcBorders>
            <w:shd w:val="clear" w:color="auto" w:fill="auto"/>
            <w:noWrap/>
            <w:vAlign w:val="center"/>
            <w:hideMark/>
          </w:tcPr>
          <w:p w14:paraId="6BF0A9DA" w14:textId="77777777" w:rsidR="00AB6725" w:rsidRPr="00AB6725" w:rsidRDefault="00AB6725" w:rsidP="00AB6725">
            <w:pPr>
              <w:jc w:val="right"/>
              <w:rPr>
                <w:rFonts w:cs="Arial"/>
                <w:color w:val="0070C0"/>
                <w:sz w:val="18"/>
                <w:szCs w:val="18"/>
              </w:rPr>
            </w:pPr>
            <w:r w:rsidRPr="00AB6725">
              <w:rPr>
                <w:rFonts w:cs="Arial"/>
                <w:sz w:val="18"/>
                <w:szCs w:val="18"/>
              </w:rPr>
              <w:t>33,119</w:t>
            </w:r>
          </w:p>
        </w:tc>
        <w:tc>
          <w:tcPr>
            <w:tcW w:w="1420" w:type="dxa"/>
            <w:tcBorders>
              <w:top w:val="nil"/>
              <w:left w:val="nil"/>
              <w:bottom w:val="single" w:sz="4" w:space="0" w:color="auto"/>
              <w:right w:val="single" w:sz="4" w:space="0" w:color="auto"/>
            </w:tcBorders>
            <w:shd w:val="clear" w:color="auto" w:fill="auto"/>
            <w:noWrap/>
            <w:vAlign w:val="center"/>
            <w:hideMark/>
          </w:tcPr>
          <w:p w14:paraId="0AB11340" w14:textId="77777777" w:rsidR="00AB6725" w:rsidRPr="00AB6725" w:rsidRDefault="00AB6725" w:rsidP="00AB6725">
            <w:pPr>
              <w:jc w:val="right"/>
              <w:rPr>
                <w:rFonts w:cs="Arial"/>
                <w:color w:val="0070C0"/>
                <w:sz w:val="18"/>
                <w:szCs w:val="18"/>
              </w:rPr>
            </w:pPr>
            <w:r w:rsidRPr="00AB6725">
              <w:rPr>
                <w:rFonts w:cs="Arial"/>
                <w:b/>
                <w:bCs/>
                <w:sz w:val="18"/>
                <w:szCs w:val="18"/>
              </w:rPr>
              <w:t>38,566</w:t>
            </w:r>
          </w:p>
        </w:tc>
        <w:tc>
          <w:tcPr>
            <w:tcW w:w="1300" w:type="dxa"/>
            <w:tcBorders>
              <w:top w:val="nil"/>
              <w:left w:val="nil"/>
              <w:bottom w:val="single" w:sz="4" w:space="0" w:color="auto"/>
              <w:right w:val="single" w:sz="4" w:space="0" w:color="auto"/>
            </w:tcBorders>
            <w:shd w:val="clear" w:color="auto" w:fill="auto"/>
            <w:noWrap/>
            <w:vAlign w:val="center"/>
            <w:hideMark/>
          </w:tcPr>
          <w:p w14:paraId="463C25E3" w14:textId="77777777" w:rsidR="00AB6725" w:rsidRPr="00AB6725" w:rsidRDefault="00AB6725" w:rsidP="00AB6725">
            <w:pPr>
              <w:jc w:val="right"/>
              <w:rPr>
                <w:rFonts w:cs="Arial"/>
                <w:color w:val="0070C0"/>
                <w:sz w:val="18"/>
                <w:szCs w:val="18"/>
              </w:rPr>
            </w:pPr>
            <w:r w:rsidRPr="00AB6725">
              <w:rPr>
                <w:rFonts w:cs="Arial"/>
                <w:sz w:val="18"/>
                <w:szCs w:val="18"/>
              </w:rPr>
              <w:t>19,000</w:t>
            </w:r>
          </w:p>
        </w:tc>
        <w:tc>
          <w:tcPr>
            <w:tcW w:w="1300" w:type="dxa"/>
            <w:tcBorders>
              <w:top w:val="nil"/>
              <w:left w:val="nil"/>
              <w:bottom w:val="single" w:sz="4" w:space="0" w:color="auto"/>
              <w:right w:val="single" w:sz="4" w:space="0" w:color="auto"/>
            </w:tcBorders>
            <w:shd w:val="clear" w:color="auto" w:fill="auto"/>
            <w:noWrap/>
            <w:vAlign w:val="center"/>
            <w:hideMark/>
          </w:tcPr>
          <w:p w14:paraId="0C8652AE" w14:textId="77777777" w:rsidR="00AB6725" w:rsidRPr="00AB6725" w:rsidRDefault="00AB6725" w:rsidP="00AB6725">
            <w:pPr>
              <w:jc w:val="right"/>
              <w:rPr>
                <w:rFonts w:cs="Arial"/>
                <w:color w:val="0070C0"/>
                <w:sz w:val="18"/>
                <w:szCs w:val="18"/>
              </w:rPr>
            </w:pPr>
            <w:r w:rsidRPr="00AB6725">
              <w:rPr>
                <w:rFonts w:cs="Arial"/>
                <w:color w:val="000000"/>
                <w:sz w:val="18"/>
                <w:szCs w:val="18"/>
              </w:rPr>
              <w:t>860</w:t>
            </w:r>
          </w:p>
        </w:tc>
        <w:tc>
          <w:tcPr>
            <w:tcW w:w="1300" w:type="dxa"/>
            <w:tcBorders>
              <w:top w:val="nil"/>
              <w:left w:val="nil"/>
              <w:bottom w:val="single" w:sz="4" w:space="0" w:color="auto"/>
              <w:right w:val="single" w:sz="4" w:space="0" w:color="auto"/>
            </w:tcBorders>
            <w:shd w:val="clear" w:color="auto" w:fill="auto"/>
            <w:noWrap/>
            <w:vAlign w:val="center"/>
            <w:hideMark/>
          </w:tcPr>
          <w:p w14:paraId="181E8F31" w14:textId="77777777" w:rsidR="00AB6725" w:rsidRPr="00AB6725" w:rsidRDefault="00AB6725" w:rsidP="00AB6725">
            <w:pPr>
              <w:jc w:val="right"/>
              <w:rPr>
                <w:rFonts w:cs="Arial"/>
                <w:color w:val="0070C0"/>
                <w:sz w:val="18"/>
                <w:szCs w:val="18"/>
              </w:rPr>
            </w:pPr>
            <w:r w:rsidRPr="00AB6725">
              <w:rPr>
                <w:rFonts w:cs="Arial"/>
                <w:color w:val="000000"/>
                <w:sz w:val="18"/>
                <w:szCs w:val="18"/>
              </w:rPr>
              <w:t>700.4</w:t>
            </w:r>
          </w:p>
        </w:tc>
        <w:tc>
          <w:tcPr>
            <w:tcW w:w="1300" w:type="dxa"/>
            <w:tcBorders>
              <w:top w:val="nil"/>
              <w:left w:val="nil"/>
              <w:bottom w:val="single" w:sz="4" w:space="0" w:color="auto"/>
              <w:right w:val="single" w:sz="4" w:space="0" w:color="auto"/>
            </w:tcBorders>
            <w:shd w:val="clear" w:color="auto" w:fill="auto"/>
            <w:noWrap/>
            <w:vAlign w:val="center"/>
            <w:hideMark/>
          </w:tcPr>
          <w:p w14:paraId="67680432" w14:textId="77777777" w:rsidR="00AB6725" w:rsidRPr="00AB6725" w:rsidRDefault="00AB6725" w:rsidP="00AB6725">
            <w:pPr>
              <w:jc w:val="right"/>
              <w:rPr>
                <w:rFonts w:cs="Arial"/>
                <w:color w:val="0070C0"/>
                <w:sz w:val="18"/>
                <w:szCs w:val="18"/>
              </w:rPr>
            </w:pPr>
            <w:r w:rsidRPr="00AB6725">
              <w:rPr>
                <w:rFonts w:cs="Arial"/>
                <w:color w:val="000000"/>
                <w:sz w:val="18"/>
                <w:szCs w:val="18"/>
              </w:rPr>
              <w:t>10,875</w:t>
            </w:r>
          </w:p>
        </w:tc>
        <w:tc>
          <w:tcPr>
            <w:tcW w:w="1300" w:type="dxa"/>
            <w:tcBorders>
              <w:top w:val="nil"/>
              <w:left w:val="nil"/>
              <w:bottom w:val="single" w:sz="4" w:space="0" w:color="auto"/>
              <w:right w:val="single" w:sz="4" w:space="0" w:color="auto"/>
            </w:tcBorders>
            <w:shd w:val="clear" w:color="auto" w:fill="auto"/>
            <w:noWrap/>
            <w:vAlign w:val="center"/>
            <w:hideMark/>
          </w:tcPr>
          <w:p w14:paraId="1C75D140" w14:textId="77777777" w:rsidR="00AB6725" w:rsidRPr="00AB6725" w:rsidRDefault="00AB6725" w:rsidP="00AB6725">
            <w:pPr>
              <w:jc w:val="right"/>
              <w:rPr>
                <w:rFonts w:cs="Arial"/>
                <w:color w:val="0070C0"/>
                <w:sz w:val="18"/>
                <w:szCs w:val="18"/>
              </w:rPr>
            </w:pPr>
            <w:r w:rsidRPr="00AB6725">
              <w:rPr>
                <w:rFonts w:cs="Arial"/>
                <w:color w:val="000000"/>
                <w:sz w:val="18"/>
                <w:szCs w:val="18"/>
              </w:rPr>
              <w:t>7,130</w:t>
            </w:r>
          </w:p>
        </w:tc>
        <w:tc>
          <w:tcPr>
            <w:tcW w:w="1300" w:type="dxa"/>
            <w:tcBorders>
              <w:top w:val="nil"/>
              <w:left w:val="nil"/>
              <w:bottom w:val="single" w:sz="4" w:space="0" w:color="auto"/>
              <w:right w:val="single" w:sz="4" w:space="0" w:color="auto"/>
            </w:tcBorders>
            <w:shd w:val="clear" w:color="auto" w:fill="auto"/>
            <w:noWrap/>
            <w:vAlign w:val="center"/>
            <w:hideMark/>
          </w:tcPr>
          <w:p w14:paraId="6EE94AFB"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06EE6B0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38,566</w:t>
            </w:r>
          </w:p>
        </w:tc>
      </w:tr>
      <w:tr w:rsidR="00AB6725" w:rsidRPr="00AB6725" w14:paraId="671451A1"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A320637" w14:textId="77777777" w:rsidR="00AB6725" w:rsidRPr="00AB6725" w:rsidRDefault="00AB6725" w:rsidP="00AB6725">
            <w:pPr>
              <w:rPr>
                <w:rFonts w:cs="Arial"/>
                <w:color w:val="0070C0"/>
                <w:sz w:val="18"/>
                <w:szCs w:val="18"/>
                <w:lang w:eastAsia="en-GB"/>
              </w:rPr>
            </w:pPr>
            <w:r w:rsidRPr="00AB6725">
              <w:rPr>
                <w:rFonts w:cs="Arial"/>
                <w:sz w:val="18"/>
                <w:szCs w:val="18"/>
              </w:rPr>
              <w:t>2023.24</w:t>
            </w:r>
          </w:p>
        </w:tc>
        <w:tc>
          <w:tcPr>
            <w:tcW w:w="1300" w:type="dxa"/>
            <w:tcBorders>
              <w:top w:val="nil"/>
              <w:left w:val="nil"/>
              <w:bottom w:val="single" w:sz="4" w:space="0" w:color="auto"/>
              <w:right w:val="single" w:sz="4" w:space="0" w:color="auto"/>
            </w:tcBorders>
            <w:shd w:val="clear" w:color="auto" w:fill="auto"/>
            <w:noWrap/>
            <w:vAlign w:val="center"/>
            <w:hideMark/>
          </w:tcPr>
          <w:p w14:paraId="5C254345" w14:textId="77777777" w:rsidR="00AB6725" w:rsidRPr="00AB6725" w:rsidRDefault="00AB6725" w:rsidP="00AB6725">
            <w:pPr>
              <w:jc w:val="right"/>
              <w:rPr>
                <w:rFonts w:cs="Arial"/>
                <w:color w:val="0070C0"/>
                <w:sz w:val="18"/>
                <w:szCs w:val="18"/>
              </w:rPr>
            </w:pPr>
            <w:r w:rsidRPr="00AB6725">
              <w:rPr>
                <w:rFonts w:cs="Arial"/>
                <w:sz w:val="18"/>
                <w:szCs w:val="18"/>
              </w:rPr>
              <w:t>6,147</w:t>
            </w:r>
          </w:p>
        </w:tc>
        <w:tc>
          <w:tcPr>
            <w:tcW w:w="1347" w:type="dxa"/>
            <w:tcBorders>
              <w:top w:val="nil"/>
              <w:left w:val="nil"/>
              <w:bottom w:val="single" w:sz="4" w:space="0" w:color="auto"/>
              <w:right w:val="single" w:sz="4" w:space="0" w:color="auto"/>
            </w:tcBorders>
            <w:shd w:val="clear" w:color="auto" w:fill="auto"/>
            <w:noWrap/>
            <w:vAlign w:val="center"/>
            <w:hideMark/>
          </w:tcPr>
          <w:p w14:paraId="1C929F5C" w14:textId="77777777" w:rsidR="00AB6725" w:rsidRPr="00AB6725" w:rsidRDefault="00AB6725" w:rsidP="00AB6725">
            <w:pPr>
              <w:jc w:val="right"/>
              <w:rPr>
                <w:rFonts w:cs="Arial"/>
                <w:color w:val="0070C0"/>
                <w:sz w:val="18"/>
                <w:szCs w:val="18"/>
              </w:rPr>
            </w:pPr>
            <w:r w:rsidRPr="00AB6725">
              <w:rPr>
                <w:rFonts w:cs="Arial"/>
                <w:sz w:val="18"/>
                <w:szCs w:val="18"/>
              </w:rPr>
              <w:t>41,877</w:t>
            </w:r>
          </w:p>
        </w:tc>
        <w:tc>
          <w:tcPr>
            <w:tcW w:w="1420" w:type="dxa"/>
            <w:tcBorders>
              <w:top w:val="nil"/>
              <w:left w:val="nil"/>
              <w:bottom w:val="single" w:sz="4" w:space="0" w:color="auto"/>
              <w:right w:val="single" w:sz="4" w:space="0" w:color="auto"/>
            </w:tcBorders>
            <w:shd w:val="clear" w:color="auto" w:fill="auto"/>
            <w:noWrap/>
            <w:vAlign w:val="center"/>
            <w:hideMark/>
          </w:tcPr>
          <w:p w14:paraId="3FF85879" w14:textId="77777777" w:rsidR="00AB6725" w:rsidRPr="00AB6725" w:rsidRDefault="00AB6725" w:rsidP="00AB6725">
            <w:pPr>
              <w:jc w:val="right"/>
              <w:rPr>
                <w:rFonts w:cs="Arial"/>
                <w:color w:val="0070C0"/>
                <w:sz w:val="18"/>
                <w:szCs w:val="18"/>
              </w:rPr>
            </w:pPr>
            <w:r w:rsidRPr="00AB6725">
              <w:rPr>
                <w:rFonts w:cs="Arial"/>
                <w:b/>
                <w:bCs/>
                <w:sz w:val="18"/>
                <w:szCs w:val="18"/>
              </w:rPr>
              <w:t>48,023</w:t>
            </w:r>
          </w:p>
        </w:tc>
        <w:tc>
          <w:tcPr>
            <w:tcW w:w="1300" w:type="dxa"/>
            <w:tcBorders>
              <w:top w:val="nil"/>
              <w:left w:val="nil"/>
              <w:bottom w:val="single" w:sz="4" w:space="0" w:color="auto"/>
              <w:right w:val="single" w:sz="4" w:space="0" w:color="auto"/>
            </w:tcBorders>
            <w:shd w:val="clear" w:color="auto" w:fill="auto"/>
            <w:noWrap/>
            <w:vAlign w:val="center"/>
            <w:hideMark/>
          </w:tcPr>
          <w:p w14:paraId="356701CF" w14:textId="77777777" w:rsidR="00AB6725" w:rsidRPr="00AB6725" w:rsidRDefault="00AB6725" w:rsidP="00AB6725">
            <w:pPr>
              <w:jc w:val="right"/>
              <w:rPr>
                <w:rFonts w:cs="Arial"/>
                <w:color w:val="0070C0"/>
                <w:sz w:val="18"/>
                <w:szCs w:val="18"/>
              </w:rPr>
            </w:pPr>
            <w:r w:rsidRPr="00AB6725">
              <w:rPr>
                <w:rFonts w:cs="Arial"/>
                <w:sz w:val="18"/>
                <w:szCs w:val="18"/>
              </w:rPr>
              <w:t>23,500</w:t>
            </w:r>
          </w:p>
        </w:tc>
        <w:tc>
          <w:tcPr>
            <w:tcW w:w="1300" w:type="dxa"/>
            <w:tcBorders>
              <w:top w:val="nil"/>
              <w:left w:val="nil"/>
              <w:bottom w:val="single" w:sz="4" w:space="0" w:color="auto"/>
              <w:right w:val="single" w:sz="4" w:space="0" w:color="auto"/>
            </w:tcBorders>
            <w:shd w:val="clear" w:color="auto" w:fill="auto"/>
            <w:noWrap/>
            <w:vAlign w:val="center"/>
            <w:hideMark/>
          </w:tcPr>
          <w:p w14:paraId="4BBD3299" w14:textId="77777777" w:rsidR="00AB6725" w:rsidRPr="00AB6725" w:rsidRDefault="00AB6725" w:rsidP="00AB6725">
            <w:pPr>
              <w:jc w:val="right"/>
              <w:rPr>
                <w:rFonts w:cs="Arial"/>
                <w:color w:val="0070C0"/>
                <w:sz w:val="18"/>
                <w:szCs w:val="18"/>
              </w:rPr>
            </w:pPr>
            <w:r w:rsidRPr="00AB6725">
              <w:rPr>
                <w:rFonts w:cs="Arial"/>
                <w:color w:val="000000"/>
                <w:sz w:val="18"/>
                <w:szCs w:val="18"/>
              </w:rPr>
              <w:t>885</w:t>
            </w:r>
          </w:p>
        </w:tc>
        <w:tc>
          <w:tcPr>
            <w:tcW w:w="1300" w:type="dxa"/>
            <w:tcBorders>
              <w:top w:val="nil"/>
              <w:left w:val="nil"/>
              <w:bottom w:val="single" w:sz="4" w:space="0" w:color="auto"/>
              <w:right w:val="single" w:sz="4" w:space="0" w:color="auto"/>
            </w:tcBorders>
            <w:shd w:val="clear" w:color="auto" w:fill="auto"/>
            <w:noWrap/>
            <w:vAlign w:val="center"/>
            <w:hideMark/>
          </w:tcPr>
          <w:p w14:paraId="344AED9A" w14:textId="77777777" w:rsidR="00AB6725" w:rsidRPr="00AB6725" w:rsidRDefault="00AB6725" w:rsidP="00AB6725">
            <w:pPr>
              <w:jc w:val="right"/>
              <w:rPr>
                <w:rFonts w:cs="Arial"/>
                <w:color w:val="0070C0"/>
                <w:sz w:val="18"/>
                <w:szCs w:val="18"/>
              </w:rPr>
            </w:pPr>
            <w:r w:rsidRPr="00AB6725">
              <w:rPr>
                <w:rFonts w:cs="Arial"/>
                <w:color w:val="000000"/>
                <w:sz w:val="18"/>
                <w:szCs w:val="18"/>
              </w:rPr>
              <w:t>630.3</w:t>
            </w:r>
          </w:p>
        </w:tc>
        <w:tc>
          <w:tcPr>
            <w:tcW w:w="1300" w:type="dxa"/>
            <w:tcBorders>
              <w:top w:val="nil"/>
              <w:left w:val="nil"/>
              <w:bottom w:val="single" w:sz="4" w:space="0" w:color="auto"/>
              <w:right w:val="single" w:sz="4" w:space="0" w:color="auto"/>
            </w:tcBorders>
            <w:shd w:val="clear" w:color="auto" w:fill="auto"/>
            <w:noWrap/>
            <w:vAlign w:val="center"/>
            <w:hideMark/>
          </w:tcPr>
          <w:p w14:paraId="3989F481" w14:textId="77777777" w:rsidR="00AB6725" w:rsidRPr="00AB6725" w:rsidRDefault="00AB6725" w:rsidP="00AB6725">
            <w:pPr>
              <w:jc w:val="right"/>
              <w:rPr>
                <w:rFonts w:cs="Arial"/>
                <w:color w:val="0070C0"/>
                <w:sz w:val="18"/>
                <w:szCs w:val="18"/>
              </w:rPr>
            </w:pPr>
            <w:r w:rsidRPr="00AB6725">
              <w:rPr>
                <w:rFonts w:cs="Arial"/>
                <w:color w:val="000000"/>
                <w:sz w:val="18"/>
                <w:szCs w:val="18"/>
              </w:rPr>
              <w:t>14,681</w:t>
            </w:r>
          </w:p>
        </w:tc>
        <w:tc>
          <w:tcPr>
            <w:tcW w:w="1300" w:type="dxa"/>
            <w:tcBorders>
              <w:top w:val="nil"/>
              <w:left w:val="nil"/>
              <w:bottom w:val="single" w:sz="4" w:space="0" w:color="auto"/>
              <w:right w:val="single" w:sz="4" w:space="0" w:color="auto"/>
            </w:tcBorders>
            <w:shd w:val="clear" w:color="auto" w:fill="auto"/>
            <w:noWrap/>
            <w:vAlign w:val="center"/>
            <w:hideMark/>
          </w:tcPr>
          <w:p w14:paraId="7C75BE3E" w14:textId="77777777" w:rsidR="00AB6725" w:rsidRPr="00AB6725" w:rsidRDefault="00AB6725" w:rsidP="00AB6725">
            <w:pPr>
              <w:jc w:val="right"/>
              <w:rPr>
                <w:rFonts w:cs="Arial"/>
                <w:color w:val="0070C0"/>
                <w:sz w:val="18"/>
                <w:szCs w:val="18"/>
              </w:rPr>
            </w:pPr>
            <w:r w:rsidRPr="00AB6725">
              <w:rPr>
                <w:rFonts w:cs="Arial"/>
                <w:color w:val="000000"/>
                <w:sz w:val="18"/>
                <w:szCs w:val="18"/>
              </w:rPr>
              <w:t>8,327</w:t>
            </w:r>
          </w:p>
        </w:tc>
        <w:tc>
          <w:tcPr>
            <w:tcW w:w="1300" w:type="dxa"/>
            <w:tcBorders>
              <w:top w:val="nil"/>
              <w:left w:val="nil"/>
              <w:bottom w:val="single" w:sz="4" w:space="0" w:color="auto"/>
              <w:right w:val="single" w:sz="4" w:space="0" w:color="auto"/>
            </w:tcBorders>
            <w:shd w:val="clear" w:color="auto" w:fill="auto"/>
            <w:noWrap/>
            <w:vAlign w:val="center"/>
            <w:hideMark/>
          </w:tcPr>
          <w:p w14:paraId="4C10585E"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A1AF421"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48,023</w:t>
            </w:r>
          </w:p>
        </w:tc>
      </w:tr>
      <w:tr w:rsidR="00AB6725" w:rsidRPr="00AB6725" w14:paraId="520A09AC"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8C7DCF" w14:textId="77777777" w:rsidR="00AB6725" w:rsidRPr="00AB6725" w:rsidRDefault="00AB6725" w:rsidP="00AB6725">
            <w:pPr>
              <w:rPr>
                <w:rFonts w:cs="Arial"/>
                <w:color w:val="0070C0"/>
                <w:sz w:val="18"/>
                <w:szCs w:val="18"/>
                <w:lang w:eastAsia="en-GB"/>
              </w:rPr>
            </w:pPr>
            <w:r w:rsidRPr="00AB6725">
              <w:rPr>
                <w:rFonts w:cs="Arial"/>
                <w:sz w:val="18"/>
                <w:szCs w:val="18"/>
              </w:rPr>
              <w:t>2024.25</w:t>
            </w:r>
          </w:p>
        </w:tc>
        <w:tc>
          <w:tcPr>
            <w:tcW w:w="1300" w:type="dxa"/>
            <w:tcBorders>
              <w:top w:val="nil"/>
              <w:left w:val="nil"/>
              <w:bottom w:val="single" w:sz="4" w:space="0" w:color="auto"/>
              <w:right w:val="single" w:sz="4" w:space="0" w:color="auto"/>
            </w:tcBorders>
            <w:shd w:val="clear" w:color="auto" w:fill="auto"/>
            <w:noWrap/>
            <w:vAlign w:val="center"/>
            <w:hideMark/>
          </w:tcPr>
          <w:p w14:paraId="55C32C64" w14:textId="77777777" w:rsidR="00AB6725" w:rsidRPr="00AB6725" w:rsidRDefault="00AB6725" w:rsidP="00AB6725">
            <w:pPr>
              <w:jc w:val="right"/>
              <w:rPr>
                <w:rFonts w:cs="Arial"/>
                <w:color w:val="0070C0"/>
                <w:sz w:val="18"/>
                <w:szCs w:val="18"/>
              </w:rPr>
            </w:pPr>
            <w:r w:rsidRPr="00AB6725">
              <w:rPr>
                <w:rFonts w:cs="Arial"/>
                <w:sz w:val="18"/>
                <w:szCs w:val="18"/>
              </w:rPr>
              <w:t>6,323</w:t>
            </w:r>
          </w:p>
        </w:tc>
        <w:tc>
          <w:tcPr>
            <w:tcW w:w="1347" w:type="dxa"/>
            <w:tcBorders>
              <w:top w:val="nil"/>
              <w:left w:val="nil"/>
              <w:bottom w:val="single" w:sz="4" w:space="0" w:color="auto"/>
              <w:right w:val="single" w:sz="4" w:space="0" w:color="auto"/>
            </w:tcBorders>
            <w:shd w:val="clear" w:color="auto" w:fill="auto"/>
            <w:noWrap/>
            <w:vAlign w:val="center"/>
            <w:hideMark/>
          </w:tcPr>
          <w:p w14:paraId="3B8AC907" w14:textId="77777777" w:rsidR="00AB6725" w:rsidRPr="00AB6725" w:rsidRDefault="00AB6725" w:rsidP="00AB6725">
            <w:pPr>
              <w:jc w:val="right"/>
              <w:rPr>
                <w:rFonts w:cs="Arial"/>
                <w:color w:val="0070C0"/>
                <w:sz w:val="18"/>
                <w:szCs w:val="18"/>
              </w:rPr>
            </w:pPr>
            <w:r w:rsidRPr="00AB6725">
              <w:rPr>
                <w:rFonts w:cs="Arial"/>
                <w:sz w:val="18"/>
                <w:szCs w:val="18"/>
              </w:rPr>
              <w:t>15,041</w:t>
            </w:r>
          </w:p>
        </w:tc>
        <w:tc>
          <w:tcPr>
            <w:tcW w:w="1420" w:type="dxa"/>
            <w:tcBorders>
              <w:top w:val="nil"/>
              <w:left w:val="nil"/>
              <w:bottom w:val="single" w:sz="4" w:space="0" w:color="auto"/>
              <w:right w:val="single" w:sz="4" w:space="0" w:color="auto"/>
            </w:tcBorders>
            <w:shd w:val="clear" w:color="auto" w:fill="auto"/>
            <w:noWrap/>
            <w:vAlign w:val="center"/>
            <w:hideMark/>
          </w:tcPr>
          <w:p w14:paraId="564EDD12" w14:textId="77777777" w:rsidR="00AB6725" w:rsidRPr="00AB6725" w:rsidRDefault="00AB6725" w:rsidP="00AB6725">
            <w:pPr>
              <w:jc w:val="right"/>
              <w:rPr>
                <w:rFonts w:cs="Arial"/>
                <w:color w:val="0070C0"/>
                <w:sz w:val="18"/>
                <w:szCs w:val="18"/>
              </w:rPr>
            </w:pPr>
            <w:r w:rsidRPr="00AB6725">
              <w:rPr>
                <w:rFonts w:cs="Arial"/>
                <w:b/>
                <w:bCs/>
                <w:sz w:val="18"/>
                <w:szCs w:val="18"/>
              </w:rPr>
              <w:t>21,364</w:t>
            </w:r>
          </w:p>
        </w:tc>
        <w:tc>
          <w:tcPr>
            <w:tcW w:w="1300" w:type="dxa"/>
            <w:tcBorders>
              <w:top w:val="nil"/>
              <w:left w:val="nil"/>
              <w:bottom w:val="single" w:sz="4" w:space="0" w:color="auto"/>
              <w:right w:val="single" w:sz="4" w:space="0" w:color="auto"/>
            </w:tcBorders>
            <w:shd w:val="clear" w:color="auto" w:fill="auto"/>
            <w:noWrap/>
            <w:vAlign w:val="center"/>
            <w:hideMark/>
          </w:tcPr>
          <w:p w14:paraId="2A83D8FA" w14:textId="77777777" w:rsidR="00AB6725" w:rsidRPr="00AB6725" w:rsidRDefault="00AB6725" w:rsidP="00AB6725">
            <w:pPr>
              <w:jc w:val="right"/>
              <w:rPr>
                <w:rFonts w:cs="Arial"/>
                <w:color w:val="0070C0"/>
                <w:sz w:val="18"/>
                <w:szCs w:val="18"/>
              </w:rPr>
            </w:pPr>
            <w:r w:rsidRPr="00AB6725">
              <w:rPr>
                <w:rFonts w:cs="Arial"/>
                <w:sz w:val="18"/>
                <w:szCs w:val="18"/>
              </w:rPr>
              <w:t>7,700</w:t>
            </w:r>
          </w:p>
        </w:tc>
        <w:tc>
          <w:tcPr>
            <w:tcW w:w="1300" w:type="dxa"/>
            <w:tcBorders>
              <w:top w:val="nil"/>
              <w:left w:val="nil"/>
              <w:bottom w:val="single" w:sz="4" w:space="0" w:color="auto"/>
              <w:right w:val="single" w:sz="4" w:space="0" w:color="auto"/>
            </w:tcBorders>
            <w:shd w:val="clear" w:color="auto" w:fill="auto"/>
            <w:noWrap/>
            <w:vAlign w:val="center"/>
            <w:hideMark/>
          </w:tcPr>
          <w:p w14:paraId="1F27B5B4" w14:textId="77777777" w:rsidR="00AB6725" w:rsidRPr="00AB6725" w:rsidRDefault="00AB6725" w:rsidP="00AB6725">
            <w:pPr>
              <w:jc w:val="right"/>
              <w:rPr>
                <w:rFonts w:cs="Arial"/>
                <w:color w:val="0070C0"/>
                <w:sz w:val="18"/>
                <w:szCs w:val="18"/>
              </w:rPr>
            </w:pPr>
            <w:r w:rsidRPr="00AB6725">
              <w:rPr>
                <w:rFonts w:cs="Arial"/>
                <w:color w:val="000000"/>
                <w:sz w:val="18"/>
                <w:szCs w:val="18"/>
              </w:rPr>
              <w:t>551</w:t>
            </w:r>
          </w:p>
        </w:tc>
        <w:tc>
          <w:tcPr>
            <w:tcW w:w="1300" w:type="dxa"/>
            <w:tcBorders>
              <w:top w:val="nil"/>
              <w:left w:val="nil"/>
              <w:bottom w:val="single" w:sz="4" w:space="0" w:color="auto"/>
              <w:right w:val="single" w:sz="4" w:space="0" w:color="auto"/>
            </w:tcBorders>
            <w:shd w:val="clear" w:color="auto" w:fill="auto"/>
            <w:noWrap/>
            <w:vAlign w:val="center"/>
            <w:hideMark/>
          </w:tcPr>
          <w:p w14:paraId="51728DC9" w14:textId="77777777" w:rsidR="00AB6725" w:rsidRPr="00AB6725" w:rsidRDefault="00AB6725" w:rsidP="00AB6725">
            <w:pPr>
              <w:jc w:val="right"/>
              <w:rPr>
                <w:rFonts w:cs="Arial"/>
                <w:color w:val="0070C0"/>
                <w:sz w:val="18"/>
                <w:szCs w:val="18"/>
              </w:rPr>
            </w:pPr>
            <w:r w:rsidRPr="00AB6725">
              <w:rPr>
                <w:rFonts w:cs="Arial"/>
                <w:color w:val="000000"/>
                <w:sz w:val="18"/>
                <w:szCs w:val="18"/>
              </w:rPr>
              <w:t>982.9</w:t>
            </w:r>
          </w:p>
        </w:tc>
        <w:tc>
          <w:tcPr>
            <w:tcW w:w="1300" w:type="dxa"/>
            <w:tcBorders>
              <w:top w:val="nil"/>
              <w:left w:val="nil"/>
              <w:bottom w:val="single" w:sz="4" w:space="0" w:color="auto"/>
              <w:right w:val="single" w:sz="4" w:space="0" w:color="auto"/>
            </w:tcBorders>
            <w:shd w:val="clear" w:color="auto" w:fill="auto"/>
            <w:noWrap/>
            <w:vAlign w:val="center"/>
            <w:hideMark/>
          </w:tcPr>
          <w:p w14:paraId="32B6383B" w14:textId="77777777" w:rsidR="00AB6725" w:rsidRPr="00AB6725" w:rsidRDefault="00AB6725" w:rsidP="00AB6725">
            <w:pPr>
              <w:jc w:val="right"/>
              <w:rPr>
                <w:rFonts w:cs="Arial"/>
                <w:color w:val="0070C0"/>
                <w:sz w:val="18"/>
                <w:szCs w:val="18"/>
              </w:rPr>
            </w:pPr>
            <w:r w:rsidRPr="00AB6725">
              <w:rPr>
                <w:rFonts w:cs="Arial"/>
                <w:color w:val="000000"/>
                <w:sz w:val="18"/>
                <w:szCs w:val="18"/>
              </w:rPr>
              <w:t>3,650</w:t>
            </w:r>
          </w:p>
        </w:tc>
        <w:tc>
          <w:tcPr>
            <w:tcW w:w="1300" w:type="dxa"/>
            <w:tcBorders>
              <w:top w:val="nil"/>
              <w:left w:val="nil"/>
              <w:bottom w:val="single" w:sz="4" w:space="0" w:color="auto"/>
              <w:right w:val="single" w:sz="4" w:space="0" w:color="auto"/>
            </w:tcBorders>
            <w:shd w:val="clear" w:color="auto" w:fill="auto"/>
            <w:noWrap/>
            <w:vAlign w:val="center"/>
            <w:hideMark/>
          </w:tcPr>
          <w:p w14:paraId="1397EB9B" w14:textId="77777777" w:rsidR="00AB6725" w:rsidRPr="00AB6725" w:rsidRDefault="00AB6725" w:rsidP="00AB6725">
            <w:pPr>
              <w:jc w:val="right"/>
              <w:rPr>
                <w:rFonts w:cs="Arial"/>
                <w:color w:val="0070C0"/>
                <w:sz w:val="18"/>
                <w:szCs w:val="18"/>
              </w:rPr>
            </w:pPr>
            <w:r w:rsidRPr="00AB6725">
              <w:rPr>
                <w:rFonts w:cs="Arial"/>
                <w:color w:val="000000"/>
                <w:sz w:val="18"/>
                <w:szCs w:val="18"/>
              </w:rPr>
              <w:t>8,480</w:t>
            </w:r>
          </w:p>
        </w:tc>
        <w:tc>
          <w:tcPr>
            <w:tcW w:w="1300" w:type="dxa"/>
            <w:tcBorders>
              <w:top w:val="nil"/>
              <w:left w:val="nil"/>
              <w:bottom w:val="single" w:sz="4" w:space="0" w:color="auto"/>
              <w:right w:val="single" w:sz="4" w:space="0" w:color="auto"/>
            </w:tcBorders>
            <w:shd w:val="clear" w:color="auto" w:fill="auto"/>
            <w:noWrap/>
            <w:vAlign w:val="center"/>
            <w:hideMark/>
          </w:tcPr>
          <w:p w14:paraId="4636475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B5AB62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21,364</w:t>
            </w:r>
          </w:p>
        </w:tc>
      </w:tr>
      <w:tr w:rsidR="00AB6725" w:rsidRPr="00AB6725" w14:paraId="4D7B3E2D"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621E4B9" w14:textId="77777777" w:rsidR="00AB6725" w:rsidRPr="00AB6725" w:rsidRDefault="00AB6725" w:rsidP="00AB6725">
            <w:pPr>
              <w:rPr>
                <w:rFonts w:cs="Arial"/>
                <w:color w:val="0070C0"/>
                <w:sz w:val="18"/>
                <w:szCs w:val="18"/>
                <w:lang w:eastAsia="en-GB"/>
              </w:rPr>
            </w:pPr>
            <w:r w:rsidRPr="00AB6725">
              <w:rPr>
                <w:rFonts w:cs="Arial"/>
                <w:sz w:val="18"/>
                <w:szCs w:val="18"/>
              </w:rPr>
              <w:t>2025.26</w:t>
            </w:r>
          </w:p>
        </w:tc>
        <w:tc>
          <w:tcPr>
            <w:tcW w:w="1300" w:type="dxa"/>
            <w:tcBorders>
              <w:top w:val="nil"/>
              <w:left w:val="nil"/>
              <w:bottom w:val="single" w:sz="4" w:space="0" w:color="auto"/>
              <w:right w:val="single" w:sz="4" w:space="0" w:color="auto"/>
            </w:tcBorders>
            <w:shd w:val="clear" w:color="auto" w:fill="auto"/>
            <w:noWrap/>
            <w:vAlign w:val="center"/>
            <w:hideMark/>
          </w:tcPr>
          <w:p w14:paraId="3D5073DC" w14:textId="77777777" w:rsidR="00AB6725" w:rsidRPr="00AB6725" w:rsidRDefault="00AB6725" w:rsidP="00AB6725">
            <w:pPr>
              <w:jc w:val="right"/>
              <w:rPr>
                <w:rFonts w:cs="Arial"/>
                <w:color w:val="0070C0"/>
                <w:sz w:val="18"/>
                <w:szCs w:val="18"/>
              </w:rPr>
            </w:pPr>
            <w:r w:rsidRPr="00AB6725">
              <w:rPr>
                <w:rFonts w:cs="Arial"/>
                <w:sz w:val="18"/>
                <w:szCs w:val="18"/>
              </w:rPr>
              <w:t>7,491</w:t>
            </w:r>
          </w:p>
        </w:tc>
        <w:tc>
          <w:tcPr>
            <w:tcW w:w="1347" w:type="dxa"/>
            <w:tcBorders>
              <w:top w:val="nil"/>
              <w:left w:val="nil"/>
              <w:bottom w:val="single" w:sz="4" w:space="0" w:color="auto"/>
              <w:right w:val="single" w:sz="4" w:space="0" w:color="auto"/>
            </w:tcBorders>
            <w:shd w:val="clear" w:color="auto" w:fill="auto"/>
            <w:noWrap/>
            <w:vAlign w:val="center"/>
            <w:hideMark/>
          </w:tcPr>
          <w:p w14:paraId="527992EA"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1D060C9A" w14:textId="77777777" w:rsidR="00AB6725" w:rsidRPr="00AB6725" w:rsidRDefault="00AB6725" w:rsidP="00AB6725">
            <w:pPr>
              <w:jc w:val="right"/>
              <w:rPr>
                <w:rFonts w:cs="Arial"/>
                <w:color w:val="0070C0"/>
                <w:sz w:val="18"/>
                <w:szCs w:val="18"/>
              </w:rPr>
            </w:pPr>
            <w:r w:rsidRPr="00AB6725">
              <w:rPr>
                <w:rFonts w:cs="Arial"/>
                <w:b/>
                <w:bCs/>
                <w:sz w:val="18"/>
                <w:szCs w:val="18"/>
              </w:rPr>
              <w:t>7,491</w:t>
            </w:r>
          </w:p>
        </w:tc>
        <w:tc>
          <w:tcPr>
            <w:tcW w:w="1300" w:type="dxa"/>
            <w:tcBorders>
              <w:top w:val="nil"/>
              <w:left w:val="nil"/>
              <w:bottom w:val="single" w:sz="4" w:space="0" w:color="auto"/>
              <w:right w:val="single" w:sz="4" w:space="0" w:color="auto"/>
            </w:tcBorders>
            <w:shd w:val="clear" w:color="auto" w:fill="auto"/>
            <w:noWrap/>
            <w:vAlign w:val="center"/>
            <w:hideMark/>
          </w:tcPr>
          <w:p w14:paraId="0C1E3183"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D5E1F9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EEEDC1E" w14:textId="77777777" w:rsidR="00AB6725" w:rsidRPr="00AB6725" w:rsidRDefault="00AB6725" w:rsidP="00AB6725">
            <w:pPr>
              <w:jc w:val="right"/>
              <w:rPr>
                <w:rFonts w:cs="Arial"/>
                <w:color w:val="0070C0"/>
                <w:sz w:val="18"/>
                <w:szCs w:val="18"/>
              </w:rPr>
            </w:pPr>
            <w:r w:rsidRPr="00AB6725">
              <w:rPr>
                <w:rFonts w:cs="Arial"/>
                <w:color w:val="000000"/>
                <w:sz w:val="18"/>
                <w:szCs w:val="18"/>
              </w:rPr>
              <w:t>1030.1</w:t>
            </w:r>
          </w:p>
        </w:tc>
        <w:tc>
          <w:tcPr>
            <w:tcW w:w="1300" w:type="dxa"/>
            <w:tcBorders>
              <w:top w:val="nil"/>
              <w:left w:val="nil"/>
              <w:bottom w:val="single" w:sz="4" w:space="0" w:color="auto"/>
              <w:right w:val="single" w:sz="4" w:space="0" w:color="auto"/>
            </w:tcBorders>
            <w:shd w:val="clear" w:color="auto" w:fill="auto"/>
            <w:noWrap/>
            <w:vAlign w:val="center"/>
            <w:hideMark/>
          </w:tcPr>
          <w:p w14:paraId="4C7F32E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6D0B71D" w14:textId="77777777" w:rsidR="00AB6725" w:rsidRPr="00AB6725" w:rsidRDefault="00AB6725" w:rsidP="00AB6725">
            <w:pPr>
              <w:jc w:val="right"/>
              <w:rPr>
                <w:rFonts w:cs="Arial"/>
                <w:color w:val="0070C0"/>
                <w:sz w:val="18"/>
                <w:szCs w:val="18"/>
              </w:rPr>
            </w:pPr>
            <w:r w:rsidRPr="00AB6725">
              <w:rPr>
                <w:rFonts w:cs="Arial"/>
                <w:color w:val="000000"/>
                <w:sz w:val="18"/>
                <w:szCs w:val="18"/>
              </w:rPr>
              <w:t>6,461</w:t>
            </w:r>
          </w:p>
        </w:tc>
        <w:tc>
          <w:tcPr>
            <w:tcW w:w="1300" w:type="dxa"/>
            <w:tcBorders>
              <w:top w:val="nil"/>
              <w:left w:val="nil"/>
              <w:bottom w:val="single" w:sz="4" w:space="0" w:color="auto"/>
              <w:right w:val="single" w:sz="4" w:space="0" w:color="auto"/>
            </w:tcBorders>
            <w:shd w:val="clear" w:color="auto" w:fill="auto"/>
            <w:noWrap/>
            <w:vAlign w:val="center"/>
            <w:hideMark/>
          </w:tcPr>
          <w:p w14:paraId="500D9C4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531AB0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7,491</w:t>
            </w:r>
          </w:p>
        </w:tc>
      </w:tr>
      <w:tr w:rsidR="00AB6725" w:rsidRPr="00AB6725" w14:paraId="1F6A5959"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0D303F" w14:textId="77777777" w:rsidR="00AB6725" w:rsidRPr="00AB6725" w:rsidRDefault="00AB6725" w:rsidP="00AB6725">
            <w:pPr>
              <w:rPr>
                <w:rFonts w:cs="Arial"/>
                <w:color w:val="0070C0"/>
                <w:sz w:val="18"/>
                <w:szCs w:val="18"/>
                <w:lang w:eastAsia="en-GB"/>
              </w:rPr>
            </w:pPr>
            <w:r w:rsidRPr="00AB6725">
              <w:rPr>
                <w:rFonts w:cs="Arial"/>
                <w:sz w:val="18"/>
                <w:szCs w:val="18"/>
              </w:rPr>
              <w:t>2026.27</w:t>
            </w:r>
          </w:p>
        </w:tc>
        <w:tc>
          <w:tcPr>
            <w:tcW w:w="1300" w:type="dxa"/>
            <w:tcBorders>
              <w:top w:val="nil"/>
              <w:left w:val="nil"/>
              <w:bottom w:val="single" w:sz="4" w:space="0" w:color="auto"/>
              <w:right w:val="single" w:sz="4" w:space="0" w:color="auto"/>
            </w:tcBorders>
            <w:shd w:val="clear" w:color="auto" w:fill="auto"/>
            <w:noWrap/>
            <w:vAlign w:val="center"/>
            <w:hideMark/>
          </w:tcPr>
          <w:p w14:paraId="7100A9F0" w14:textId="77777777" w:rsidR="00AB6725" w:rsidRPr="00AB6725" w:rsidRDefault="00AB6725" w:rsidP="00AB6725">
            <w:pPr>
              <w:jc w:val="right"/>
              <w:rPr>
                <w:rFonts w:cs="Arial"/>
                <w:color w:val="0070C0"/>
                <w:sz w:val="18"/>
                <w:szCs w:val="18"/>
              </w:rPr>
            </w:pPr>
            <w:r w:rsidRPr="00AB6725">
              <w:rPr>
                <w:rFonts w:cs="Arial"/>
                <w:sz w:val="18"/>
                <w:szCs w:val="18"/>
              </w:rPr>
              <w:t>7,706</w:t>
            </w:r>
          </w:p>
        </w:tc>
        <w:tc>
          <w:tcPr>
            <w:tcW w:w="1347" w:type="dxa"/>
            <w:tcBorders>
              <w:top w:val="nil"/>
              <w:left w:val="nil"/>
              <w:bottom w:val="single" w:sz="4" w:space="0" w:color="auto"/>
              <w:right w:val="single" w:sz="4" w:space="0" w:color="auto"/>
            </w:tcBorders>
            <w:shd w:val="clear" w:color="auto" w:fill="auto"/>
            <w:noWrap/>
            <w:vAlign w:val="center"/>
            <w:hideMark/>
          </w:tcPr>
          <w:p w14:paraId="41846036"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0E6BD38F" w14:textId="77777777" w:rsidR="00AB6725" w:rsidRPr="00AB6725" w:rsidRDefault="00AB6725" w:rsidP="00AB6725">
            <w:pPr>
              <w:jc w:val="right"/>
              <w:rPr>
                <w:rFonts w:cs="Arial"/>
                <w:color w:val="0070C0"/>
                <w:sz w:val="18"/>
                <w:szCs w:val="18"/>
              </w:rPr>
            </w:pPr>
            <w:r w:rsidRPr="00AB6725">
              <w:rPr>
                <w:rFonts w:cs="Arial"/>
                <w:b/>
                <w:bCs/>
                <w:sz w:val="18"/>
                <w:szCs w:val="18"/>
              </w:rPr>
              <w:t>7,706</w:t>
            </w:r>
          </w:p>
        </w:tc>
        <w:tc>
          <w:tcPr>
            <w:tcW w:w="1300" w:type="dxa"/>
            <w:tcBorders>
              <w:top w:val="nil"/>
              <w:left w:val="nil"/>
              <w:bottom w:val="single" w:sz="4" w:space="0" w:color="auto"/>
              <w:right w:val="single" w:sz="4" w:space="0" w:color="auto"/>
            </w:tcBorders>
            <w:shd w:val="clear" w:color="auto" w:fill="auto"/>
            <w:noWrap/>
            <w:vAlign w:val="center"/>
            <w:hideMark/>
          </w:tcPr>
          <w:p w14:paraId="599FC38E"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11DF7AD"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5B38090" w14:textId="77777777" w:rsidR="00AB6725" w:rsidRPr="00AB6725" w:rsidRDefault="00AB6725" w:rsidP="00AB6725">
            <w:pPr>
              <w:jc w:val="right"/>
              <w:rPr>
                <w:rFonts w:cs="Arial"/>
                <w:color w:val="0070C0"/>
                <w:sz w:val="18"/>
                <w:szCs w:val="18"/>
              </w:rPr>
            </w:pPr>
            <w:r w:rsidRPr="00AB6725">
              <w:rPr>
                <w:rFonts w:cs="Arial"/>
                <w:color w:val="000000"/>
                <w:sz w:val="18"/>
                <w:szCs w:val="18"/>
              </w:rPr>
              <w:t>1038.7</w:t>
            </w:r>
          </w:p>
        </w:tc>
        <w:tc>
          <w:tcPr>
            <w:tcW w:w="1300" w:type="dxa"/>
            <w:tcBorders>
              <w:top w:val="nil"/>
              <w:left w:val="nil"/>
              <w:bottom w:val="single" w:sz="4" w:space="0" w:color="auto"/>
              <w:right w:val="single" w:sz="4" w:space="0" w:color="auto"/>
            </w:tcBorders>
            <w:shd w:val="clear" w:color="auto" w:fill="auto"/>
            <w:noWrap/>
            <w:vAlign w:val="center"/>
            <w:hideMark/>
          </w:tcPr>
          <w:p w14:paraId="6257F08C"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2B41BB3" w14:textId="77777777" w:rsidR="00AB6725" w:rsidRPr="00AB6725" w:rsidRDefault="00AB6725" w:rsidP="00AB6725">
            <w:pPr>
              <w:jc w:val="right"/>
              <w:rPr>
                <w:rFonts w:cs="Arial"/>
                <w:color w:val="0070C0"/>
                <w:sz w:val="18"/>
                <w:szCs w:val="18"/>
              </w:rPr>
            </w:pPr>
            <w:r w:rsidRPr="00AB6725">
              <w:rPr>
                <w:rFonts w:cs="Arial"/>
                <w:color w:val="000000"/>
                <w:sz w:val="18"/>
                <w:szCs w:val="18"/>
              </w:rPr>
              <w:t>6,667</w:t>
            </w:r>
          </w:p>
        </w:tc>
        <w:tc>
          <w:tcPr>
            <w:tcW w:w="1300" w:type="dxa"/>
            <w:tcBorders>
              <w:top w:val="nil"/>
              <w:left w:val="nil"/>
              <w:bottom w:val="single" w:sz="4" w:space="0" w:color="auto"/>
              <w:right w:val="single" w:sz="4" w:space="0" w:color="auto"/>
            </w:tcBorders>
            <w:shd w:val="clear" w:color="auto" w:fill="auto"/>
            <w:noWrap/>
            <w:vAlign w:val="center"/>
            <w:hideMark/>
          </w:tcPr>
          <w:p w14:paraId="329790FF"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BA260D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7,706</w:t>
            </w:r>
          </w:p>
        </w:tc>
      </w:tr>
      <w:tr w:rsidR="00AB6725" w:rsidRPr="00AB6725" w14:paraId="40C38BE9"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DF27031" w14:textId="77777777" w:rsidR="00AB6725" w:rsidRPr="00AB6725" w:rsidRDefault="00AB6725" w:rsidP="00AB6725">
            <w:pPr>
              <w:rPr>
                <w:rFonts w:cs="Arial"/>
                <w:color w:val="0070C0"/>
                <w:sz w:val="18"/>
                <w:szCs w:val="18"/>
                <w:lang w:eastAsia="en-GB"/>
              </w:rPr>
            </w:pPr>
            <w:r w:rsidRPr="00AB6725">
              <w:rPr>
                <w:rFonts w:cs="Arial"/>
                <w:sz w:val="18"/>
                <w:szCs w:val="18"/>
              </w:rPr>
              <w:t>2027.28</w:t>
            </w:r>
          </w:p>
        </w:tc>
        <w:tc>
          <w:tcPr>
            <w:tcW w:w="1300" w:type="dxa"/>
            <w:tcBorders>
              <w:top w:val="nil"/>
              <w:left w:val="nil"/>
              <w:bottom w:val="single" w:sz="4" w:space="0" w:color="auto"/>
              <w:right w:val="single" w:sz="4" w:space="0" w:color="auto"/>
            </w:tcBorders>
            <w:shd w:val="clear" w:color="auto" w:fill="auto"/>
            <w:noWrap/>
            <w:vAlign w:val="center"/>
            <w:hideMark/>
          </w:tcPr>
          <w:p w14:paraId="68C6DEDE" w14:textId="77777777" w:rsidR="00AB6725" w:rsidRPr="00AB6725" w:rsidRDefault="00AB6725" w:rsidP="00AB6725">
            <w:pPr>
              <w:jc w:val="right"/>
              <w:rPr>
                <w:rFonts w:cs="Arial"/>
                <w:color w:val="0070C0"/>
                <w:sz w:val="18"/>
                <w:szCs w:val="18"/>
              </w:rPr>
            </w:pPr>
            <w:r w:rsidRPr="00AB6725">
              <w:rPr>
                <w:rFonts w:cs="Arial"/>
                <w:sz w:val="18"/>
                <w:szCs w:val="18"/>
              </w:rPr>
              <w:t>7,927</w:t>
            </w:r>
          </w:p>
        </w:tc>
        <w:tc>
          <w:tcPr>
            <w:tcW w:w="1347" w:type="dxa"/>
            <w:tcBorders>
              <w:top w:val="nil"/>
              <w:left w:val="nil"/>
              <w:bottom w:val="single" w:sz="4" w:space="0" w:color="auto"/>
              <w:right w:val="single" w:sz="4" w:space="0" w:color="auto"/>
            </w:tcBorders>
            <w:shd w:val="clear" w:color="auto" w:fill="auto"/>
            <w:noWrap/>
            <w:vAlign w:val="center"/>
            <w:hideMark/>
          </w:tcPr>
          <w:p w14:paraId="3060C709"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0BC07CB0" w14:textId="77777777" w:rsidR="00AB6725" w:rsidRPr="00AB6725" w:rsidRDefault="00AB6725" w:rsidP="00AB6725">
            <w:pPr>
              <w:jc w:val="right"/>
              <w:rPr>
                <w:rFonts w:cs="Arial"/>
                <w:color w:val="0070C0"/>
                <w:sz w:val="18"/>
                <w:szCs w:val="18"/>
              </w:rPr>
            </w:pPr>
            <w:r w:rsidRPr="00AB6725">
              <w:rPr>
                <w:rFonts w:cs="Arial"/>
                <w:b/>
                <w:bCs/>
                <w:sz w:val="18"/>
                <w:szCs w:val="18"/>
              </w:rPr>
              <w:t>7,927</w:t>
            </w:r>
          </w:p>
        </w:tc>
        <w:tc>
          <w:tcPr>
            <w:tcW w:w="1300" w:type="dxa"/>
            <w:tcBorders>
              <w:top w:val="nil"/>
              <w:left w:val="nil"/>
              <w:bottom w:val="single" w:sz="4" w:space="0" w:color="auto"/>
              <w:right w:val="single" w:sz="4" w:space="0" w:color="auto"/>
            </w:tcBorders>
            <w:shd w:val="clear" w:color="auto" w:fill="auto"/>
            <w:noWrap/>
            <w:vAlign w:val="center"/>
            <w:hideMark/>
          </w:tcPr>
          <w:p w14:paraId="727C2C4C"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0BC60F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5DF9E71" w14:textId="77777777" w:rsidR="00AB6725" w:rsidRPr="00AB6725" w:rsidRDefault="00AB6725" w:rsidP="00AB6725">
            <w:pPr>
              <w:jc w:val="right"/>
              <w:rPr>
                <w:rFonts w:cs="Arial"/>
                <w:color w:val="0070C0"/>
                <w:sz w:val="18"/>
                <w:szCs w:val="18"/>
              </w:rPr>
            </w:pPr>
            <w:r w:rsidRPr="00AB6725">
              <w:rPr>
                <w:rFonts w:cs="Arial"/>
                <w:color w:val="000000"/>
                <w:sz w:val="18"/>
                <w:szCs w:val="18"/>
              </w:rPr>
              <w:t>920</w:t>
            </w:r>
          </w:p>
        </w:tc>
        <w:tc>
          <w:tcPr>
            <w:tcW w:w="1300" w:type="dxa"/>
            <w:tcBorders>
              <w:top w:val="nil"/>
              <w:left w:val="nil"/>
              <w:bottom w:val="single" w:sz="4" w:space="0" w:color="auto"/>
              <w:right w:val="single" w:sz="4" w:space="0" w:color="auto"/>
            </w:tcBorders>
            <w:shd w:val="clear" w:color="auto" w:fill="auto"/>
            <w:noWrap/>
            <w:vAlign w:val="center"/>
            <w:hideMark/>
          </w:tcPr>
          <w:p w14:paraId="1ECE4B4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B2B21A2" w14:textId="77777777" w:rsidR="00AB6725" w:rsidRPr="00AB6725" w:rsidRDefault="00AB6725" w:rsidP="00AB6725">
            <w:pPr>
              <w:jc w:val="right"/>
              <w:rPr>
                <w:rFonts w:cs="Arial"/>
                <w:color w:val="0070C0"/>
                <w:sz w:val="18"/>
                <w:szCs w:val="18"/>
              </w:rPr>
            </w:pPr>
            <w:r w:rsidRPr="00AB6725">
              <w:rPr>
                <w:rFonts w:cs="Arial"/>
                <w:color w:val="000000"/>
                <w:sz w:val="18"/>
                <w:szCs w:val="18"/>
              </w:rPr>
              <w:t>7,007</w:t>
            </w:r>
          </w:p>
        </w:tc>
        <w:tc>
          <w:tcPr>
            <w:tcW w:w="1300" w:type="dxa"/>
            <w:tcBorders>
              <w:top w:val="nil"/>
              <w:left w:val="nil"/>
              <w:bottom w:val="single" w:sz="4" w:space="0" w:color="auto"/>
              <w:right w:val="single" w:sz="4" w:space="0" w:color="auto"/>
            </w:tcBorders>
            <w:shd w:val="clear" w:color="auto" w:fill="auto"/>
            <w:noWrap/>
            <w:vAlign w:val="center"/>
            <w:hideMark/>
          </w:tcPr>
          <w:p w14:paraId="70B6363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949D6D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7,927</w:t>
            </w:r>
          </w:p>
        </w:tc>
      </w:tr>
      <w:tr w:rsidR="00AB6725" w:rsidRPr="00AB6725" w14:paraId="31F79AF1"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DB3E04" w14:textId="77777777" w:rsidR="00AB6725" w:rsidRPr="00AB6725" w:rsidRDefault="00AB6725" w:rsidP="00AB6725">
            <w:pPr>
              <w:rPr>
                <w:rFonts w:cs="Arial"/>
                <w:color w:val="0070C0"/>
                <w:sz w:val="18"/>
                <w:szCs w:val="18"/>
                <w:lang w:eastAsia="en-GB"/>
              </w:rPr>
            </w:pPr>
            <w:r w:rsidRPr="00AB6725">
              <w:rPr>
                <w:rFonts w:cs="Arial"/>
                <w:sz w:val="18"/>
                <w:szCs w:val="18"/>
              </w:rPr>
              <w:t>2028.29</w:t>
            </w:r>
          </w:p>
        </w:tc>
        <w:tc>
          <w:tcPr>
            <w:tcW w:w="1300" w:type="dxa"/>
            <w:tcBorders>
              <w:top w:val="nil"/>
              <w:left w:val="nil"/>
              <w:bottom w:val="single" w:sz="4" w:space="0" w:color="auto"/>
              <w:right w:val="single" w:sz="4" w:space="0" w:color="auto"/>
            </w:tcBorders>
            <w:shd w:val="clear" w:color="auto" w:fill="auto"/>
            <w:noWrap/>
            <w:vAlign w:val="center"/>
            <w:hideMark/>
          </w:tcPr>
          <w:p w14:paraId="7DE6E728" w14:textId="77777777" w:rsidR="00AB6725" w:rsidRPr="00AB6725" w:rsidRDefault="00AB6725" w:rsidP="00AB6725">
            <w:pPr>
              <w:jc w:val="right"/>
              <w:rPr>
                <w:rFonts w:cs="Arial"/>
                <w:color w:val="0070C0"/>
                <w:sz w:val="18"/>
                <w:szCs w:val="18"/>
              </w:rPr>
            </w:pPr>
            <w:r w:rsidRPr="00AB6725">
              <w:rPr>
                <w:rFonts w:cs="Arial"/>
                <w:sz w:val="18"/>
                <w:szCs w:val="18"/>
              </w:rPr>
              <w:t>8,155</w:t>
            </w:r>
          </w:p>
        </w:tc>
        <w:tc>
          <w:tcPr>
            <w:tcW w:w="1347" w:type="dxa"/>
            <w:tcBorders>
              <w:top w:val="nil"/>
              <w:left w:val="nil"/>
              <w:bottom w:val="single" w:sz="4" w:space="0" w:color="auto"/>
              <w:right w:val="single" w:sz="4" w:space="0" w:color="auto"/>
            </w:tcBorders>
            <w:shd w:val="clear" w:color="auto" w:fill="auto"/>
            <w:noWrap/>
            <w:vAlign w:val="center"/>
            <w:hideMark/>
          </w:tcPr>
          <w:p w14:paraId="1E3EE338"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6D9F8E38" w14:textId="77777777" w:rsidR="00AB6725" w:rsidRPr="00AB6725" w:rsidRDefault="00AB6725" w:rsidP="00AB6725">
            <w:pPr>
              <w:jc w:val="right"/>
              <w:rPr>
                <w:rFonts w:cs="Arial"/>
                <w:color w:val="0070C0"/>
                <w:sz w:val="18"/>
                <w:szCs w:val="18"/>
              </w:rPr>
            </w:pPr>
            <w:r w:rsidRPr="00AB6725">
              <w:rPr>
                <w:rFonts w:cs="Arial"/>
                <w:b/>
                <w:bCs/>
                <w:sz w:val="18"/>
                <w:szCs w:val="18"/>
              </w:rPr>
              <w:t>8,155</w:t>
            </w:r>
          </w:p>
        </w:tc>
        <w:tc>
          <w:tcPr>
            <w:tcW w:w="1300" w:type="dxa"/>
            <w:tcBorders>
              <w:top w:val="nil"/>
              <w:left w:val="nil"/>
              <w:bottom w:val="single" w:sz="4" w:space="0" w:color="auto"/>
              <w:right w:val="single" w:sz="4" w:space="0" w:color="auto"/>
            </w:tcBorders>
            <w:shd w:val="clear" w:color="auto" w:fill="auto"/>
            <w:noWrap/>
            <w:vAlign w:val="center"/>
            <w:hideMark/>
          </w:tcPr>
          <w:p w14:paraId="1D1FE0FF"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B076AC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69853D3" w14:textId="77777777" w:rsidR="00AB6725" w:rsidRPr="00AB6725" w:rsidRDefault="00AB6725" w:rsidP="00AB6725">
            <w:pPr>
              <w:jc w:val="right"/>
              <w:rPr>
                <w:rFonts w:cs="Arial"/>
                <w:color w:val="0070C0"/>
                <w:sz w:val="18"/>
                <w:szCs w:val="18"/>
              </w:rPr>
            </w:pPr>
            <w:r w:rsidRPr="00AB6725">
              <w:rPr>
                <w:rFonts w:cs="Arial"/>
                <w:color w:val="000000"/>
                <w:sz w:val="18"/>
                <w:szCs w:val="18"/>
              </w:rPr>
              <w:t>656.1</w:t>
            </w:r>
          </w:p>
        </w:tc>
        <w:tc>
          <w:tcPr>
            <w:tcW w:w="1300" w:type="dxa"/>
            <w:tcBorders>
              <w:top w:val="nil"/>
              <w:left w:val="nil"/>
              <w:bottom w:val="single" w:sz="4" w:space="0" w:color="auto"/>
              <w:right w:val="single" w:sz="4" w:space="0" w:color="auto"/>
            </w:tcBorders>
            <w:shd w:val="clear" w:color="auto" w:fill="auto"/>
            <w:noWrap/>
            <w:vAlign w:val="center"/>
            <w:hideMark/>
          </w:tcPr>
          <w:p w14:paraId="6CD47F1F"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F1DAE51" w14:textId="77777777" w:rsidR="00AB6725" w:rsidRPr="00AB6725" w:rsidRDefault="00AB6725" w:rsidP="00AB6725">
            <w:pPr>
              <w:jc w:val="right"/>
              <w:rPr>
                <w:rFonts w:cs="Arial"/>
                <w:color w:val="0070C0"/>
                <w:sz w:val="18"/>
                <w:szCs w:val="18"/>
              </w:rPr>
            </w:pPr>
            <w:r w:rsidRPr="00AB6725">
              <w:rPr>
                <w:rFonts w:cs="Arial"/>
                <w:color w:val="000000"/>
                <w:sz w:val="18"/>
                <w:szCs w:val="18"/>
              </w:rPr>
              <w:t>7,498</w:t>
            </w:r>
          </w:p>
        </w:tc>
        <w:tc>
          <w:tcPr>
            <w:tcW w:w="1300" w:type="dxa"/>
            <w:tcBorders>
              <w:top w:val="nil"/>
              <w:left w:val="nil"/>
              <w:bottom w:val="single" w:sz="4" w:space="0" w:color="auto"/>
              <w:right w:val="single" w:sz="4" w:space="0" w:color="auto"/>
            </w:tcBorders>
            <w:shd w:val="clear" w:color="auto" w:fill="auto"/>
            <w:noWrap/>
            <w:vAlign w:val="center"/>
            <w:hideMark/>
          </w:tcPr>
          <w:p w14:paraId="20B51C3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F07313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8,155</w:t>
            </w:r>
          </w:p>
        </w:tc>
      </w:tr>
      <w:tr w:rsidR="00AB6725" w:rsidRPr="00AB6725" w14:paraId="17860D4B"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2FFDD7B" w14:textId="77777777" w:rsidR="00AB6725" w:rsidRPr="00AB6725" w:rsidRDefault="00AB6725" w:rsidP="00AB6725">
            <w:pPr>
              <w:rPr>
                <w:rFonts w:cs="Arial"/>
                <w:color w:val="0070C0"/>
                <w:sz w:val="18"/>
                <w:szCs w:val="18"/>
                <w:lang w:eastAsia="en-GB"/>
              </w:rPr>
            </w:pPr>
            <w:r w:rsidRPr="00AB6725">
              <w:rPr>
                <w:rFonts w:cs="Arial"/>
                <w:sz w:val="18"/>
                <w:szCs w:val="18"/>
              </w:rPr>
              <w:t>2029.30</w:t>
            </w:r>
          </w:p>
        </w:tc>
        <w:tc>
          <w:tcPr>
            <w:tcW w:w="1300" w:type="dxa"/>
            <w:tcBorders>
              <w:top w:val="nil"/>
              <w:left w:val="nil"/>
              <w:bottom w:val="single" w:sz="4" w:space="0" w:color="auto"/>
              <w:right w:val="single" w:sz="4" w:space="0" w:color="auto"/>
            </w:tcBorders>
            <w:shd w:val="clear" w:color="auto" w:fill="auto"/>
            <w:noWrap/>
            <w:vAlign w:val="center"/>
            <w:hideMark/>
          </w:tcPr>
          <w:p w14:paraId="2CE06790" w14:textId="77777777" w:rsidR="00AB6725" w:rsidRPr="00AB6725" w:rsidRDefault="00AB6725" w:rsidP="00AB6725">
            <w:pPr>
              <w:jc w:val="right"/>
              <w:rPr>
                <w:rFonts w:cs="Arial"/>
                <w:color w:val="0070C0"/>
                <w:sz w:val="18"/>
                <w:szCs w:val="18"/>
              </w:rPr>
            </w:pPr>
            <w:r w:rsidRPr="00AB6725">
              <w:rPr>
                <w:rFonts w:cs="Arial"/>
                <w:sz w:val="18"/>
                <w:szCs w:val="18"/>
              </w:rPr>
              <w:t>8,389</w:t>
            </w:r>
          </w:p>
        </w:tc>
        <w:tc>
          <w:tcPr>
            <w:tcW w:w="1347" w:type="dxa"/>
            <w:tcBorders>
              <w:top w:val="nil"/>
              <w:left w:val="nil"/>
              <w:bottom w:val="single" w:sz="4" w:space="0" w:color="auto"/>
              <w:right w:val="single" w:sz="4" w:space="0" w:color="auto"/>
            </w:tcBorders>
            <w:shd w:val="clear" w:color="auto" w:fill="auto"/>
            <w:noWrap/>
            <w:vAlign w:val="center"/>
            <w:hideMark/>
          </w:tcPr>
          <w:p w14:paraId="37F1DBC7"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54893151" w14:textId="77777777" w:rsidR="00AB6725" w:rsidRPr="00AB6725" w:rsidRDefault="00AB6725" w:rsidP="00AB6725">
            <w:pPr>
              <w:jc w:val="right"/>
              <w:rPr>
                <w:rFonts w:cs="Arial"/>
                <w:color w:val="0070C0"/>
                <w:sz w:val="18"/>
                <w:szCs w:val="18"/>
              </w:rPr>
            </w:pPr>
            <w:r w:rsidRPr="00AB6725">
              <w:rPr>
                <w:rFonts w:cs="Arial"/>
                <w:b/>
                <w:bCs/>
                <w:sz w:val="18"/>
                <w:szCs w:val="18"/>
              </w:rPr>
              <w:t>8,389</w:t>
            </w:r>
          </w:p>
        </w:tc>
        <w:tc>
          <w:tcPr>
            <w:tcW w:w="1300" w:type="dxa"/>
            <w:tcBorders>
              <w:top w:val="nil"/>
              <w:left w:val="nil"/>
              <w:bottom w:val="single" w:sz="4" w:space="0" w:color="auto"/>
              <w:right w:val="single" w:sz="4" w:space="0" w:color="auto"/>
            </w:tcBorders>
            <w:shd w:val="clear" w:color="auto" w:fill="auto"/>
            <w:noWrap/>
            <w:vAlign w:val="center"/>
            <w:hideMark/>
          </w:tcPr>
          <w:p w14:paraId="2E35C9F7"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091E4E4"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806E8B3" w14:textId="77777777" w:rsidR="00AB6725" w:rsidRPr="00AB6725" w:rsidRDefault="00AB6725" w:rsidP="00AB6725">
            <w:pPr>
              <w:jc w:val="right"/>
              <w:rPr>
                <w:rFonts w:cs="Arial"/>
                <w:color w:val="0070C0"/>
                <w:sz w:val="18"/>
                <w:szCs w:val="18"/>
              </w:rPr>
            </w:pPr>
            <w:r w:rsidRPr="00AB6725">
              <w:rPr>
                <w:rFonts w:cs="Arial"/>
                <w:color w:val="000000"/>
                <w:sz w:val="18"/>
                <w:szCs w:val="18"/>
              </w:rPr>
              <w:t>665.6</w:t>
            </w:r>
          </w:p>
        </w:tc>
        <w:tc>
          <w:tcPr>
            <w:tcW w:w="1300" w:type="dxa"/>
            <w:tcBorders>
              <w:top w:val="nil"/>
              <w:left w:val="nil"/>
              <w:bottom w:val="single" w:sz="4" w:space="0" w:color="auto"/>
              <w:right w:val="single" w:sz="4" w:space="0" w:color="auto"/>
            </w:tcBorders>
            <w:shd w:val="clear" w:color="auto" w:fill="auto"/>
            <w:noWrap/>
            <w:vAlign w:val="center"/>
            <w:hideMark/>
          </w:tcPr>
          <w:p w14:paraId="1C1A0E1F"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E9C6EBD" w14:textId="77777777" w:rsidR="00AB6725" w:rsidRPr="00AB6725" w:rsidRDefault="00AB6725" w:rsidP="00AB6725">
            <w:pPr>
              <w:jc w:val="right"/>
              <w:rPr>
                <w:rFonts w:cs="Arial"/>
                <w:color w:val="0070C0"/>
                <w:sz w:val="18"/>
                <w:szCs w:val="18"/>
              </w:rPr>
            </w:pPr>
            <w:r w:rsidRPr="00AB6725">
              <w:rPr>
                <w:rFonts w:cs="Arial"/>
                <w:color w:val="000000"/>
                <w:sz w:val="18"/>
                <w:szCs w:val="18"/>
              </w:rPr>
              <w:t>7,723</w:t>
            </w:r>
          </w:p>
        </w:tc>
        <w:tc>
          <w:tcPr>
            <w:tcW w:w="1300" w:type="dxa"/>
            <w:tcBorders>
              <w:top w:val="nil"/>
              <w:left w:val="nil"/>
              <w:bottom w:val="single" w:sz="4" w:space="0" w:color="auto"/>
              <w:right w:val="single" w:sz="4" w:space="0" w:color="auto"/>
            </w:tcBorders>
            <w:shd w:val="clear" w:color="auto" w:fill="auto"/>
            <w:noWrap/>
            <w:vAlign w:val="center"/>
            <w:hideMark/>
          </w:tcPr>
          <w:p w14:paraId="42511A55"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C6C084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8,389</w:t>
            </w:r>
          </w:p>
        </w:tc>
      </w:tr>
      <w:tr w:rsidR="00AB6725" w:rsidRPr="00AB6725" w14:paraId="413C30A0"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CB8C201" w14:textId="77777777" w:rsidR="00AB6725" w:rsidRPr="00AB6725" w:rsidRDefault="00AB6725" w:rsidP="00AB6725">
            <w:pPr>
              <w:rPr>
                <w:rFonts w:cs="Arial"/>
                <w:color w:val="0070C0"/>
                <w:sz w:val="18"/>
                <w:szCs w:val="18"/>
                <w:lang w:eastAsia="en-GB"/>
              </w:rPr>
            </w:pPr>
            <w:r w:rsidRPr="00AB6725">
              <w:rPr>
                <w:rFonts w:cs="Arial"/>
                <w:sz w:val="18"/>
                <w:szCs w:val="18"/>
              </w:rPr>
              <w:t>2030.31</w:t>
            </w:r>
          </w:p>
        </w:tc>
        <w:tc>
          <w:tcPr>
            <w:tcW w:w="1300" w:type="dxa"/>
            <w:tcBorders>
              <w:top w:val="nil"/>
              <w:left w:val="nil"/>
              <w:bottom w:val="single" w:sz="4" w:space="0" w:color="auto"/>
              <w:right w:val="single" w:sz="4" w:space="0" w:color="auto"/>
            </w:tcBorders>
            <w:shd w:val="clear" w:color="auto" w:fill="auto"/>
            <w:noWrap/>
            <w:vAlign w:val="center"/>
            <w:hideMark/>
          </w:tcPr>
          <w:p w14:paraId="26F745FB" w14:textId="77777777" w:rsidR="00AB6725" w:rsidRPr="00AB6725" w:rsidRDefault="00AB6725" w:rsidP="00AB6725">
            <w:pPr>
              <w:jc w:val="right"/>
              <w:rPr>
                <w:rFonts w:cs="Arial"/>
                <w:color w:val="0070C0"/>
                <w:sz w:val="18"/>
                <w:szCs w:val="18"/>
              </w:rPr>
            </w:pPr>
            <w:r w:rsidRPr="00AB6725">
              <w:rPr>
                <w:rFonts w:cs="Arial"/>
                <w:sz w:val="18"/>
                <w:szCs w:val="18"/>
              </w:rPr>
              <w:t>8,760</w:t>
            </w:r>
          </w:p>
        </w:tc>
        <w:tc>
          <w:tcPr>
            <w:tcW w:w="1347" w:type="dxa"/>
            <w:tcBorders>
              <w:top w:val="nil"/>
              <w:left w:val="nil"/>
              <w:bottom w:val="single" w:sz="4" w:space="0" w:color="auto"/>
              <w:right w:val="single" w:sz="4" w:space="0" w:color="auto"/>
            </w:tcBorders>
            <w:shd w:val="clear" w:color="auto" w:fill="auto"/>
            <w:noWrap/>
            <w:vAlign w:val="center"/>
            <w:hideMark/>
          </w:tcPr>
          <w:p w14:paraId="774468B3"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167195EA" w14:textId="77777777" w:rsidR="00AB6725" w:rsidRPr="00AB6725" w:rsidRDefault="00AB6725" w:rsidP="00AB6725">
            <w:pPr>
              <w:jc w:val="right"/>
              <w:rPr>
                <w:rFonts w:cs="Arial"/>
                <w:color w:val="0070C0"/>
                <w:sz w:val="18"/>
                <w:szCs w:val="18"/>
              </w:rPr>
            </w:pPr>
            <w:r w:rsidRPr="00AB6725">
              <w:rPr>
                <w:rFonts w:cs="Arial"/>
                <w:b/>
                <w:bCs/>
                <w:sz w:val="18"/>
                <w:szCs w:val="18"/>
              </w:rPr>
              <w:t>8,760</w:t>
            </w:r>
          </w:p>
        </w:tc>
        <w:tc>
          <w:tcPr>
            <w:tcW w:w="1300" w:type="dxa"/>
            <w:tcBorders>
              <w:top w:val="nil"/>
              <w:left w:val="nil"/>
              <w:bottom w:val="single" w:sz="4" w:space="0" w:color="auto"/>
              <w:right w:val="single" w:sz="4" w:space="0" w:color="auto"/>
            </w:tcBorders>
            <w:shd w:val="clear" w:color="auto" w:fill="auto"/>
            <w:noWrap/>
            <w:vAlign w:val="center"/>
            <w:hideMark/>
          </w:tcPr>
          <w:p w14:paraId="1E90E14A"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71F9EF6"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3221D5B" w14:textId="77777777" w:rsidR="00AB6725" w:rsidRPr="00AB6725" w:rsidRDefault="00AB6725" w:rsidP="00AB6725">
            <w:pPr>
              <w:jc w:val="right"/>
              <w:rPr>
                <w:rFonts w:cs="Arial"/>
                <w:color w:val="0070C0"/>
                <w:sz w:val="18"/>
                <w:szCs w:val="18"/>
              </w:rPr>
            </w:pPr>
            <w:r w:rsidRPr="00AB6725">
              <w:rPr>
                <w:rFonts w:cs="Arial"/>
                <w:color w:val="000000"/>
                <w:sz w:val="18"/>
                <w:szCs w:val="18"/>
              </w:rPr>
              <w:t>675.3</w:t>
            </w:r>
          </w:p>
        </w:tc>
        <w:tc>
          <w:tcPr>
            <w:tcW w:w="1300" w:type="dxa"/>
            <w:tcBorders>
              <w:top w:val="nil"/>
              <w:left w:val="nil"/>
              <w:bottom w:val="single" w:sz="4" w:space="0" w:color="auto"/>
              <w:right w:val="single" w:sz="4" w:space="0" w:color="auto"/>
            </w:tcBorders>
            <w:shd w:val="clear" w:color="auto" w:fill="auto"/>
            <w:noWrap/>
            <w:vAlign w:val="center"/>
            <w:hideMark/>
          </w:tcPr>
          <w:p w14:paraId="5ECD0BA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B457044" w14:textId="77777777" w:rsidR="00AB6725" w:rsidRPr="00AB6725" w:rsidRDefault="00AB6725" w:rsidP="00AB6725">
            <w:pPr>
              <w:jc w:val="right"/>
              <w:rPr>
                <w:rFonts w:cs="Arial"/>
                <w:color w:val="0070C0"/>
                <w:sz w:val="18"/>
                <w:szCs w:val="18"/>
              </w:rPr>
            </w:pPr>
            <w:r w:rsidRPr="00AB6725">
              <w:rPr>
                <w:rFonts w:cs="Arial"/>
                <w:color w:val="000000"/>
                <w:sz w:val="18"/>
                <w:szCs w:val="18"/>
              </w:rPr>
              <w:t>8,084</w:t>
            </w:r>
          </w:p>
        </w:tc>
        <w:tc>
          <w:tcPr>
            <w:tcW w:w="1300" w:type="dxa"/>
            <w:tcBorders>
              <w:top w:val="nil"/>
              <w:left w:val="nil"/>
              <w:bottom w:val="single" w:sz="4" w:space="0" w:color="auto"/>
              <w:right w:val="single" w:sz="4" w:space="0" w:color="auto"/>
            </w:tcBorders>
            <w:shd w:val="clear" w:color="auto" w:fill="auto"/>
            <w:noWrap/>
            <w:vAlign w:val="center"/>
            <w:hideMark/>
          </w:tcPr>
          <w:p w14:paraId="31F0D60B"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F5028D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8,760</w:t>
            </w:r>
          </w:p>
        </w:tc>
      </w:tr>
      <w:tr w:rsidR="00AB6725" w:rsidRPr="00AB6725" w14:paraId="7720FA78"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D2246A9" w14:textId="77777777" w:rsidR="00AB6725" w:rsidRPr="00AB6725" w:rsidRDefault="00AB6725" w:rsidP="00AB6725">
            <w:pPr>
              <w:rPr>
                <w:rFonts w:cs="Arial"/>
                <w:color w:val="0070C0"/>
                <w:sz w:val="18"/>
                <w:szCs w:val="18"/>
                <w:lang w:eastAsia="en-GB"/>
              </w:rPr>
            </w:pPr>
            <w:r w:rsidRPr="00AB6725">
              <w:rPr>
                <w:rFonts w:cs="Arial"/>
                <w:sz w:val="18"/>
                <w:szCs w:val="18"/>
              </w:rPr>
              <w:t>2031.32</w:t>
            </w:r>
          </w:p>
        </w:tc>
        <w:tc>
          <w:tcPr>
            <w:tcW w:w="1300" w:type="dxa"/>
            <w:tcBorders>
              <w:top w:val="nil"/>
              <w:left w:val="nil"/>
              <w:bottom w:val="single" w:sz="4" w:space="0" w:color="auto"/>
              <w:right w:val="single" w:sz="4" w:space="0" w:color="auto"/>
            </w:tcBorders>
            <w:shd w:val="clear" w:color="auto" w:fill="auto"/>
            <w:noWrap/>
            <w:vAlign w:val="center"/>
            <w:hideMark/>
          </w:tcPr>
          <w:p w14:paraId="66FDA7BF" w14:textId="77777777" w:rsidR="00AB6725" w:rsidRPr="00AB6725" w:rsidRDefault="00AB6725" w:rsidP="00AB6725">
            <w:pPr>
              <w:jc w:val="right"/>
              <w:rPr>
                <w:rFonts w:cs="Arial"/>
                <w:color w:val="0070C0"/>
                <w:sz w:val="18"/>
                <w:szCs w:val="18"/>
              </w:rPr>
            </w:pPr>
            <w:r w:rsidRPr="00AB6725">
              <w:rPr>
                <w:rFonts w:cs="Arial"/>
                <w:sz w:val="18"/>
                <w:szCs w:val="18"/>
              </w:rPr>
              <w:t>9,295</w:t>
            </w:r>
          </w:p>
        </w:tc>
        <w:tc>
          <w:tcPr>
            <w:tcW w:w="1347" w:type="dxa"/>
            <w:tcBorders>
              <w:top w:val="nil"/>
              <w:left w:val="nil"/>
              <w:bottom w:val="single" w:sz="4" w:space="0" w:color="auto"/>
              <w:right w:val="single" w:sz="4" w:space="0" w:color="auto"/>
            </w:tcBorders>
            <w:shd w:val="clear" w:color="auto" w:fill="auto"/>
            <w:noWrap/>
            <w:vAlign w:val="center"/>
            <w:hideMark/>
          </w:tcPr>
          <w:p w14:paraId="2C1928DF"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5C41CEB9" w14:textId="77777777" w:rsidR="00AB6725" w:rsidRPr="00AB6725" w:rsidRDefault="00AB6725" w:rsidP="00AB6725">
            <w:pPr>
              <w:jc w:val="right"/>
              <w:rPr>
                <w:rFonts w:cs="Arial"/>
                <w:color w:val="0070C0"/>
                <w:sz w:val="18"/>
                <w:szCs w:val="18"/>
              </w:rPr>
            </w:pPr>
            <w:r w:rsidRPr="00AB6725">
              <w:rPr>
                <w:rFonts w:cs="Arial"/>
                <w:b/>
                <w:bCs/>
                <w:sz w:val="18"/>
                <w:szCs w:val="18"/>
              </w:rPr>
              <w:t>9,295</w:t>
            </w:r>
          </w:p>
        </w:tc>
        <w:tc>
          <w:tcPr>
            <w:tcW w:w="1300" w:type="dxa"/>
            <w:tcBorders>
              <w:top w:val="nil"/>
              <w:left w:val="nil"/>
              <w:bottom w:val="single" w:sz="4" w:space="0" w:color="auto"/>
              <w:right w:val="single" w:sz="4" w:space="0" w:color="auto"/>
            </w:tcBorders>
            <w:shd w:val="clear" w:color="auto" w:fill="auto"/>
            <w:noWrap/>
            <w:vAlign w:val="center"/>
            <w:hideMark/>
          </w:tcPr>
          <w:p w14:paraId="63A475A2"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741AD4E"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DA260ED" w14:textId="77777777" w:rsidR="00AB6725" w:rsidRPr="00AB6725" w:rsidRDefault="00AB6725" w:rsidP="00AB6725">
            <w:pPr>
              <w:jc w:val="right"/>
              <w:rPr>
                <w:rFonts w:cs="Arial"/>
                <w:color w:val="0070C0"/>
                <w:sz w:val="18"/>
                <w:szCs w:val="18"/>
              </w:rPr>
            </w:pPr>
            <w:r w:rsidRPr="00AB6725">
              <w:rPr>
                <w:rFonts w:cs="Arial"/>
                <w:color w:val="000000"/>
                <w:sz w:val="18"/>
                <w:szCs w:val="18"/>
              </w:rPr>
              <w:t>685.1</w:t>
            </w:r>
          </w:p>
        </w:tc>
        <w:tc>
          <w:tcPr>
            <w:tcW w:w="1300" w:type="dxa"/>
            <w:tcBorders>
              <w:top w:val="nil"/>
              <w:left w:val="nil"/>
              <w:bottom w:val="single" w:sz="4" w:space="0" w:color="auto"/>
              <w:right w:val="single" w:sz="4" w:space="0" w:color="auto"/>
            </w:tcBorders>
            <w:shd w:val="clear" w:color="auto" w:fill="auto"/>
            <w:noWrap/>
            <w:vAlign w:val="center"/>
            <w:hideMark/>
          </w:tcPr>
          <w:p w14:paraId="096D4AE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0DF3B7C" w14:textId="77777777" w:rsidR="00AB6725" w:rsidRPr="00AB6725" w:rsidRDefault="00AB6725" w:rsidP="00AB6725">
            <w:pPr>
              <w:jc w:val="right"/>
              <w:rPr>
                <w:rFonts w:cs="Arial"/>
                <w:color w:val="0070C0"/>
                <w:sz w:val="18"/>
                <w:szCs w:val="18"/>
              </w:rPr>
            </w:pPr>
            <w:r w:rsidRPr="00AB6725">
              <w:rPr>
                <w:rFonts w:cs="Arial"/>
                <w:color w:val="000000"/>
                <w:sz w:val="18"/>
                <w:szCs w:val="18"/>
              </w:rPr>
              <w:t>8,610</w:t>
            </w:r>
          </w:p>
        </w:tc>
        <w:tc>
          <w:tcPr>
            <w:tcW w:w="1300" w:type="dxa"/>
            <w:tcBorders>
              <w:top w:val="nil"/>
              <w:left w:val="nil"/>
              <w:bottom w:val="single" w:sz="4" w:space="0" w:color="auto"/>
              <w:right w:val="single" w:sz="4" w:space="0" w:color="auto"/>
            </w:tcBorders>
            <w:shd w:val="clear" w:color="auto" w:fill="auto"/>
            <w:noWrap/>
            <w:vAlign w:val="center"/>
            <w:hideMark/>
          </w:tcPr>
          <w:p w14:paraId="4EF9ED65"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515245D"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9,295</w:t>
            </w:r>
          </w:p>
        </w:tc>
      </w:tr>
      <w:tr w:rsidR="00AB6725" w:rsidRPr="00AB6725" w14:paraId="42AA8F7D"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735C302" w14:textId="77777777" w:rsidR="00AB6725" w:rsidRPr="00AB6725" w:rsidRDefault="00AB6725" w:rsidP="00AB6725">
            <w:pPr>
              <w:rPr>
                <w:rFonts w:cs="Arial"/>
                <w:color w:val="0070C0"/>
                <w:sz w:val="18"/>
                <w:szCs w:val="18"/>
                <w:lang w:eastAsia="en-GB"/>
              </w:rPr>
            </w:pPr>
            <w:r w:rsidRPr="00AB6725">
              <w:rPr>
                <w:rFonts w:cs="Arial"/>
                <w:sz w:val="18"/>
                <w:szCs w:val="18"/>
              </w:rPr>
              <w:t>2032.33</w:t>
            </w:r>
          </w:p>
        </w:tc>
        <w:tc>
          <w:tcPr>
            <w:tcW w:w="1300" w:type="dxa"/>
            <w:tcBorders>
              <w:top w:val="nil"/>
              <w:left w:val="nil"/>
              <w:bottom w:val="single" w:sz="4" w:space="0" w:color="auto"/>
              <w:right w:val="single" w:sz="4" w:space="0" w:color="auto"/>
            </w:tcBorders>
            <w:shd w:val="clear" w:color="auto" w:fill="auto"/>
            <w:noWrap/>
            <w:vAlign w:val="center"/>
            <w:hideMark/>
          </w:tcPr>
          <w:p w14:paraId="7486EF7A" w14:textId="77777777" w:rsidR="00AB6725" w:rsidRPr="00AB6725" w:rsidRDefault="00AB6725" w:rsidP="00AB6725">
            <w:pPr>
              <w:jc w:val="right"/>
              <w:rPr>
                <w:rFonts w:cs="Arial"/>
                <w:color w:val="0070C0"/>
                <w:sz w:val="18"/>
                <w:szCs w:val="18"/>
              </w:rPr>
            </w:pPr>
            <w:r w:rsidRPr="00AB6725">
              <w:rPr>
                <w:rFonts w:cs="Arial"/>
                <w:sz w:val="18"/>
                <w:szCs w:val="18"/>
              </w:rPr>
              <w:t>9,671</w:t>
            </w:r>
          </w:p>
        </w:tc>
        <w:tc>
          <w:tcPr>
            <w:tcW w:w="1347" w:type="dxa"/>
            <w:tcBorders>
              <w:top w:val="nil"/>
              <w:left w:val="nil"/>
              <w:bottom w:val="single" w:sz="4" w:space="0" w:color="auto"/>
              <w:right w:val="single" w:sz="4" w:space="0" w:color="auto"/>
            </w:tcBorders>
            <w:shd w:val="clear" w:color="auto" w:fill="auto"/>
            <w:noWrap/>
            <w:vAlign w:val="center"/>
            <w:hideMark/>
          </w:tcPr>
          <w:p w14:paraId="779E0DA8"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057EED6E" w14:textId="77777777" w:rsidR="00AB6725" w:rsidRPr="00AB6725" w:rsidRDefault="00AB6725" w:rsidP="00AB6725">
            <w:pPr>
              <w:jc w:val="right"/>
              <w:rPr>
                <w:rFonts w:cs="Arial"/>
                <w:color w:val="0070C0"/>
                <w:sz w:val="18"/>
                <w:szCs w:val="18"/>
              </w:rPr>
            </w:pPr>
            <w:r w:rsidRPr="00AB6725">
              <w:rPr>
                <w:rFonts w:cs="Arial"/>
                <w:b/>
                <w:bCs/>
                <w:sz w:val="18"/>
                <w:szCs w:val="18"/>
              </w:rPr>
              <w:t>9,671</w:t>
            </w:r>
          </w:p>
        </w:tc>
        <w:tc>
          <w:tcPr>
            <w:tcW w:w="1300" w:type="dxa"/>
            <w:tcBorders>
              <w:top w:val="nil"/>
              <w:left w:val="nil"/>
              <w:bottom w:val="single" w:sz="4" w:space="0" w:color="auto"/>
              <w:right w:val="single" w:sz="4" w:space="0" w:color="auto"/>
            </w:tcBorders>
            <w:shd w:val="clear" w:color="auto" w:fill="auto"/>
            <w:noWrap/>
            <w:vAlign w:val="center"/>
            <w:hideMark/>
          </w:tcPr>
          <w:p w14:paraId="71675120"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3A0335C"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3DF1847" w14:textId="77777777" w:rsidR="00AB6725" w:rsidRPr="00AB6725" w:rsidRDefault="00AB6725" w:rsidP="00AB6725">
            <w:pPr>
              <w:jc w:val="right"/>
              <w:rPr>
                <w:rFonts w:cs="Arial"/>
                <w:color w:val="0070C0"/>
                <w:sz w:val="18"/>
                <w:szCs w:val="18"/>
              </w:rPr>
            </w:pPr>
            <w:r w:rsidRPr="00AB6725">
              <w:rPr>
                <w:rFonts w:cs="Arial"/>
                <w:color w:val="000000"/>
                <w:sz w:val="18"/>
                <w:szCs w:val="18"/>
              </w:rPr>
              <w:t>695.2</w:t>
            </w:r>
          </w:p>
        </w:tc>
        <w:tc>
          <w:tcPr>
            <w:tcW w:w="1300" w:type="dxa"/>
            <w:tcBorders>
              <w:top w:val="nil"/>
              <w:left w:val="nil"/>
              <w:bottom w:val="single" w:sz="4" w:space="0" w:color="auto"/>
              <w:right w:val="single" w:sz="4" w:space="0" w:color="auto"/>
            </w:tcBorders>
            <w:shd w:val="clear" w:color="auto" w:fill="auto"/>
            <w:noWrap/>
            <w:vAlign w:val="center"/>
            <w:hideMark/>
          </w:tcPr>
          <w:p w14:paraId="30B33D0D"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739ECB8" w14:textId="77777777" w:rsidR="00AB6725" w:rsidRPr="00AB6725" w:rsidRDefault="00AB6725" w:rsidP="00AB6725">
            <w:pPr>
              <w:jc w:val="right"/>
              <w:rPr>
                <w:rFonts w:cs="Arial"/>
                <w:color w:val="0070C0"/>
                <w:sz w:val="18"/>
                <w:szCs w:val="18"/>
              </w:rPr>
            </w:pPr>
            <w:r w:rsidRPr="00AB6725">
              <w:rPr>
                <w:rFonts w:cs="Arial"/>
                <w:color w:val="000000"/>
                <w:sz w:val="18"/>
                <w:szCs w:val="18"/>
              </w:rPr>
              <w:t>8,976</w:t>
            </w:r>
          </w:p>
        </w:tc>
        <w:tc>
          <w:tcPr>
            <w:tcW w:w="1300" w:type="dxa"/>
            <w:tcBorders>
              <w:top w:val="nil"/>
              <w:left w:val="nil"/>
              <w:bottom w:val="single" w:sz="4" w:space="0" w:color="auto"/>
              <w:right w:val="single" w:sz="4" w:space="0" w:color="auto"/>
            </w:tcBorders>
            <w:shd w:val="clear" w:color="auto" w:fill="auto"/>
            <w:noWrap/>
            <w:vAlign w:val="center"/>
            <w:hideMark/>
          </w:tcPr>
          <w:p w14:paraId="343B363F"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E9CDBD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9,671</w:t>
            </w:r>
          </w:p>
        </w:tc>
      </w:tr>
      <w:tr w:rsidR="00AB6725" w:rsidRPr="00AB6725" w14:paraId="1623B58B"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4F73B9" w14:textId="77777777" w:rsidR="00AB6725" w:rsidRPr="00AB6725" w:rsidRDefault="00AB6725" w:rsidP="00AB6725">
            <w:pPr>
              <w:rPr>
                <w:rFonts w:cs="Arial"/>
                <w:color w:val="0070C0"/>
                <w:sz w:val="18"/>
                <w:szCs w:val="18"/>
                <w:lang w:eastAsia="en-GB"/>
              </w:rPr>
            </w:pPr>
            <w:r w:rsidRPr="00AB6725">
              <w:rPr>
                <w:rFonts w:cs="Arial"/>
                <w:sz w:val="18"/>
                <w:szCs w:val="18"/>
              </w:rPr>
              <w:t>2033.34</w:t>
            </w:r>
          </w:p>
        </w:tc>
        <w:tc>
          <w:tcPr>
            <w:tcW w:w="1300" w:type="dxa"/>
            <w:tcBorders>
              <w:top w:val="nil"/>
              <w:left w:val="nil"/>
              <w:bottom w:val="single" w:sz="4" w:space="0" w:color="auto"/>
              <w:right w:val="single" w:sz="4" w:space="0" w:color="auto"/>
            </w:tcBorders>
            <w:shd w:val="clear" w:color="auto" w:fill="auto"/>
            <w:noWrap/>
            <w:vAlign w:val="center"/>
            <w:hideMark/>
          </w:tcPr>
          <w:p w14:paraId="1717345C" w14:textId="77777777" w:rsidR="00AB6725" w:rsidRPr="00AB6725" w:rsidRDefault="00AB6725" w:rsidP="00AB6725">
            <w:pPr>
              <w:jc w:val="right"/>
              <w:rPr>
                <w:rFonts w:cs="Arial"/>
                <w:color w:val="0070C0"/>
                <w:sz w:val="18"/>
                <w:szCs w:val="18"/>
              </w:rPr>
            </w:pPr>
            <w:r w:rsidRPr="00AB6725">
              <w:rPr>
                <w:rFonts w:cs="Arial"/>
                <w:sz w:val="18"/>
                <w:szCs w:val="18"/>
              </w:rPr>
              <w:t>10,480</w:t>
            </w:r>
          </w:p>
        </w:tc>
        <w:tc>
          <w:tcPr>
            <w:tcW w:w="1347" w:type="dxa"/>
            <w:tcBorders>
              <w:top w:val="nil"/>
              <w:left w:val="nil"/>
              <w:bottom w:val="single" w:sz="4" w:space="0" w:color="auto"/>
              <w:right w:val="single" w:sz="4" w:space="0" w:color="auto"/>
            </w:tcBorders>
            <w:shd w:val="clear" w:color="auto" w:fill="auto"/>
            <w:noWrap/>
            <w:vAlign w:val="center"/>
            <w:hideMark/>
          </w:tcPr>
          <w:p w14:paraId="70407114"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733F0D4A" w14:textId="77777777" w:rsidR="00AB6725" w:rsidRPr="00AB6725" w:rsidRDefault="00AB6725" w:rsidP="00AB6725">
            <w:pPr>
              <w:jc w:val="right"/>
              <w:rPr>
                <w:rFonts w:cs="Arial"/>
                <w:color w:val="0070C0"/>
                <w:sz w:val="18"/>
                <w:szCs w:val="18"/>
              </w:rPr>
            </w:pPr>
            <w:r w:rsidRPr="00AB6725">
              <w:rPr>
                <w:rFonts w:cs="Arial"/>
                <w:b/>
                <w:bCs/>
                <w:sz w:val="18"/>
                <w:szCs w:val="18"/>
              </w:rPr>
              <w:t>10,480</w:t>
            </w:r>
          </w:p>
        </w:tc>
        <w:tc>
          <w:tcPr>
            <w:tcW w:w="1300" w:type="dxa"/>
            <w:tcBorders>
              <w:top w:val="nil"/>
              <w:left w:val="nil"/>
              <w:bottom w:val="single" w:sz="4" w:space="0" w:color="auto"/>
              <w:right w:val="single" w:sz="4" w:space="0" w:color="auto"/>
            </w:tcBorders>
            <w:shd w:val="clear" w:color="auto" w:fill="auto"/>
            <w:noWrap/>
            <w:vAlign w:val="center"/>
            <w:hideMark/>
          </w:tcPr>
          <w:p w14:paraId="54EDC7FE"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11E3BB5"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FE55FD4" w14:textId="77777777" w:rsidR="00AB6725" w:rsidRPr="00AB6725" w:rsidRDefault="00AB6725" w:rsidP="00AB6725">
            <w:pPr>
              <w:jc w:val="right"/>
              <w:rPr>
                <w:rFonts w:cs="Arial"/>
                <w:color w:val="0070C0"/>
                <w:sz w:val="18"/>
                <w:szCs w:val="18"/>
              </w:rPr>
            </w:pPr>
            <w:r w:rsidRPr="00AB6725">
              <w:rPr>
                <w:rFonts w:cs="Arial"/>
                <w:color w:val="000000"/>
                <w:sz w:val="18"/>
                <w:szCs w:val="18"/>
              </w:rPr>
              <w:t>705.4</w:t>
            </w:r>
          </w:p>
        </w:tc>
        <w:tc>
          <w:tcPr>
            <w:tcW w:w="1300" w:type="dxa"/>
            <w:tcBorders>
              <w:top w:val="nil"/>
              <w:left w:val="nil"/>
              <w:bottom w:val="single" w:sz="4" w:space="0" w:color="auto"/>
              <w:right w:val="single" w:sz="4" w:space="0" w:color="auto"/>
            </w:tcBorders>
            <w:shd w:val="clear" w:color="auto" w:fill="auto"/>
            <w:noWrap/>
            <w:vAlign w:val="center"/>
            <w:hideMark/>
          </w:tcPr>
          <w:p w14:paraId="5D9A1005"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A657F02" w14:textId="77777777" w:rsidR="00AB6725" w:rsidRPr="00AB6725" w:rsidRDefault="00AB6725" w:rsidP="00AB6725">
            <w:pPr>
              <w:jc w:val="right"/>
              <w:rPr>
                <w:rFonts w:cs="Arial"/>
                <w:color w:val="0070C0"/>
                <w:sz w:val="18"/>
                <w:szCs w:val="18"/>
              </w:rPr>
            </w:pPr>
            <w:r w:rsidRPr="00AB6725">
              <w:rPr>
                <w:rFonts w:cs="Arial"/>
                <w:color w:val="000000"/>
                <w:sz w:val="18"/>
                <w:szCs w:val="18"/>
              </w:rPr>
              <w:t>9,774</w:t>
            </w:r>
          </w:p>
        </w:tc>
        <w:tc>
          <w:tcPr>
            <w:tcW w:w="1300" w:type="dxa"/>
            <w:tcBorders>
              <w:top w:val="nil"/>
              <w:left w:val="nil"/>
              <w:bottom w:val="single" w:sz="4" w:space="0" w:color="auto"/>
              <w:right w:val="single" w:sz="4" w:space="0" w:color="auto"/>
            </w:tcBorders>
            <w:shd w:val="clear" w:color="auto" w:fill="auto"/>
            <w:noWrap/>
            <w:vAlign w:val="center"/>
            <w:hideMark/>
          </w:tcPr>
          <w:p w14:paraId="22C65ED9"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F316CB2"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10,480</w:t>
            </w:r>
          </w:p>
        </w:tc>
      </w:tr>
      <w:tr w:rsidR="00AB6725" w:rsidRPr="00AB6725" w14:paraId="7255DF59"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F856E8" w14:textId="77777777" w:rsidR="00AB6725" w:rsidRPr="00AB6725" w:rsidRDefault="00AB6725" w:rsidP="00AB6725">
            <w:pPr>
              <w:rPr>
                <w:rFonts w:cs="Arial"/>
                <w:color w:val="0070C0"/>
                <w:sz w:val="18"/>
                <w:szCs w:val="18"/>
                <w:lang w:eastAsia="en-GB"/>
              </w:rPr>
            </w:pPr>
            <w:r w:rsidRPr="00AB6725">
              <w:rPr>
                <w:rFonts w:cs="Arial"/>
                <w:sz w:val="18"/>
                <w:szCs w:val="18"/>
              </w:rPr>
              <w:t>2034.35</w:t>
            </w:r>
          </w:p>
        </w:tc>
        <w:tc>
          <w:tcPr>
            <w:tcW w:w="1300" w:type="dxa"/>
            <w:tcBorders>
              <w:top w:val="nil"/>
              <w:left w:val="nil"/>
              <w:bottom w:val="single" w:sz="4" w:space="0" w:color="auto"/>
              <w:right w:val="single" w:sz="4" w:space="0" w:color="auto"/>
            </w:tcBorders>
            <w:shd w:val="clear" w:color="auto" w:fill="auto"/>
            <w:noWrap/>
            <w:vAlign w:val="center"/>
            <w:hideMark/>
          </w:tcPr>
          <w:p w14:paraId="3C2AF213" w14:textId="77777777" w:rsidR="00AB6725" w:rsidRPr="00AB6725" w:rsidRDefault="00AB6725" w:rsidP="00AB6725">
            <w:pPr>
              <w:jc w:val="right"/>
              <w:rPr>
                <w:rFonts w:cs="Arial"/>
                <w:color w:val="0070C0"/>
                <w:sz w:val="18"/>
                <w:szCs w:val="18"/>
              </w:rPr>
            </w:pPr>
            <w:r w:rsidRPr="00AB6725">
              <w:rPr>
                <w:rFonts w:cs="Arial"/>
                <w:sz w:val="18"/>
                <w:szCs w:val="18"/>
              </w:rPr>
              <w:t>11,104</w:t>
            </w:r>
          </w:p>
        </w:tc>
        <w:tc>
          <w:tcPr>
            <w:tcW w:w="1347" w:type="dxa"/>
            <w:tcBorders>
              <w:top w:val="nil"/>
              <w:left w:val="nil"/>
              <w:bottom w:val="single" w:sz="4" w:space="0" w:color="auto"/>
              <w:right w:val="single" w:sz="4" w:space="0" w:color="auto"/>
            </w:tcBorders>
            <w:shd w:val="clear" w:color="auto" w:fill="auto"/>
            <w:noWrap/>
            <w:vAlign w:val="center"/>
            <w:hideMark/>
          </w:tcPr>
          <w:p w14:paraId="56959D0A"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44B6762E" w14:textId="77777777" w:rsidR="00AB6725" w:rsidRPr="00AB6725" w:rsidRDefault="00AB6725" w:rsidP="00AB6725">
            <w:pPr>
              <w:jc w:val="right"/>
              <w:rPr>
                <w:rFonts w:cs="Arial"/>
                <w:color w:val="0070C0"/>
                <w:sz w:val="18"/>
                <w:szCs w:val="18"/>
              </w:rPr>
            </w:pPr>
            <w:r w:rsidRPr="00AB6725">
              <w:rPr>
                <w:rFonts w:cs="Arial"/>
                <w:b/>
                <w:bCs/>
                <w:sz w:val="18"/>
                <w:szCs w:val="18"/>
              </w:rPr>
              <w:t>11,104</w:t>
            </w:r>
          </w:p>
        </w:tc>
        <w:tc>
          <w:tcPr>
            <w:tcW w:w="1300" w:type="dxa"/>
            <w:tcBorders>
              <w:top w:val="nil"/>
              <w:left w:val="nil"/>
              <w:bottom w:val="single" w:sz="4" w:space="0" w:color="auto"/>
              <w:right w:val="single" w:sz="4" w:space="0" w:color="auto"/>
            </w:tcBorders>
            <w:shd w:val="clear" w:color="auto" w:fill="auto"/>
            <w:noWrap/>
            <w:vAlign w:val="center"/>
            <w:hideMark/>
          </w:tcPr>
          <w:p w14:paraId="26E08B9E"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0F58FC2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3CD154A" w14:textId="77777777" w:rsidR="00AB6725" w:rsidRPr="00AB6725" w:rsidRDefault="00AB6725" w:rsidP="00AB6725">
            <w:pPr>
              <w:jc w:val="right"/>
              <w:rPr>
                <w:rFonts w:cs="Arial"/>
                <w:color w:val="0070C0"/>
                <w:sz w:val="18"/>
                <w:szCs w:val="18"/>
              </w:rPr>
            </w:pPr>
            <w:r w:rsidRPr="00AB6725">
              <w:rPr>
                <w:rFonts w:cs="Arial"/>
                <w:color w:val="000000"/>
                <w:sz w:val="18"/>
                <w:szCs w:val="18"/>
              </w:rPr>
              <w:t>715.8</w:t>
            </w:r>
          </w:p>
        </w:tc>
        <w:tc>
          <w:tcPr>
            <w:tcW w:w="1300" w:type="dxa"/>
            <w:tcBorders>
              <w:top w:val="nil"/>
              <w:left w:val="nil"/>
              <w:bottom w:val="single" w:sz="4" w:space="0" w:color="auto"/>
              <w:right w:val="single" w:sz="4" w:space="0" w:color="auto"/>
            </w:tcBorders>
            <w:shd w:val="clear" w:color="auto" w:fill="auto"/>
            <w:noWrap/>
            <w:vAlign w:val="center"/>
            <w:hideMark/>
          </w:tcPr>
          <w:p w14:paraId="4DB6A48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2D2B76A" w14:textId="77777777" w:rsidR="00AB6725" w:rsidRPr="00AB6725" w:rsidRDefault="00AB6725" w:rsidP="00AB6725">
            <w:pPr>
              <w:jc w:val="right"/>
              <w:rPr>
                <w:rFonts w:cs="Arial"/>
                <w:color w:val="0070C0"/>
                <w:sz w:val="18"/>
                <w:szCs w:val="18"/>
              </w:rPr>
            </w:pPr>
            <w:r w:rsidRPr="00AB6725">
              <w:rPr>
                <w:rFonts w:cs="Arial"/>
                <w:color w:val="000000"/>
                <w:sz w:val="18"/>
                <w:szCs w:val="18"/>
              </w:rPr>
              <w:t>10,388</w:t>
            </w:r>
          </w:p>
        </w:tc>
        <w:tc>
          <w:tcPr>
            <w:tcW w:w="1300" w:type="dxa"/>
            <w:tcBorders>
              <w:top w:val="nil"/>
              <w:left w:val="nil"/>
              <w:bottom w:val="single" w:sz="4" w:space="0" w:color="auto"/>
              <w:right w:val="single" w:sz="4" w:space="0" w:color="auto"/>
            </w:tcBorders>
            <w:shd w:val="clear" w:color="auto" w:fill="auto"/>
            <w:noWrap/>
            <w:vAlign w:val="center"/>
            <w:hideMark/>
          </w:tcPr>
          <w:p w14:paraId="18D35EB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FE43F1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11,104</w:t>
            </w:r>
          </w:p>
        </w:tc>
      </w:tr>
      <w:tr w:rsidR="00AB6725" w:rsidRPr="00AB6725" w14:paraId="4D4CB978"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36652F0" w14:textId="77777777" w:rsidR="00AB6725" w:rsidRPr="00AB6725" w:rsidRDefault="00AB6725" w:rsidP="00AB6725">
            <w:pPr>
              <w:rPr>
                <w:rFonts w:cs="Arial"/>
                <w:color w:val="0070C0"/>
                <w:sz w:val="18"/>
                <w:szCs w:val="18"/>
                <w:lang w:eastAsia="en-GB"/>
              </w:rPr>
            </w:pPr>
            <w:r w:rsidRPr="00AB6725">
              <w:rPr>
                <w:rFonts w:cs="Arial"/>
                <w:sz w:val="18"/>
                <w:szCs w:val="18"/>
              </w:rPr>
              <w:t>2035.36</w:t>
            </w:r>
          </w:p>
        </w:tc>
        <w:tc>
          <w:tcPr>
            <w:tcW w:w="1300" w:type="dxa"/>
            <w:tcBorders>
              <w:top w:val="nil"/>
              <w:left w:val="nil"/>
              <w:bottom w:val="single" w:sz="4" w:space="0" w:color="auto"/>
              <w:right w:val="single" w:sz="4" w:space="0" w:color="auto"/>
            </w:tcBorders>
            <w:shd w:val="clear" w:color="auto" w:fill="auto"/>
            <w:noWrap/>
            <w:vAlign w:val="center"/>
            <w:hideMark/>
          </w:tcPr>
          <w:p w14:paraId="6788B9E5" w14:textId="77777777" w:rsidR="00AB6725" w:rsidRPr="00AB6725" w:rsidRDefault="00AB6725" w:rsidP="00AB6725">
            <w:pPr>
              <w:jc w:val="right"/>
              <w:rPr>
                <w:rFonts w:cs="Arial"/>
                <w:color w:val="0070C0"/>
                <w:sz w:val="18"/>
                <w:szCs w:val="18"/>
              </w:rPr>
            </w:pPr>
            <w:r w:rsidRPr="00AB6725">
              <w:rPr>
                <w:rFonts w:cs="Arial"/>
                <w:sz w:val="18"/>
                <w:szCs w:val="18"/>
              </w:rPr>
              <w:t>12,324</w:t>
            </w:r>
          </w:p>
        </w:tc>
        <w:tc>
          <w:tcPr>
            <w:tcW w:w="1347" w:type="dxa"/>
            <w:tcBorders>
              <w:top w:val="nil"/>
              <w:left w:val="nil"/>
              <w:bottom w:val="single" w:sz="4" w:space="0" w:color="auto"/>
              <w:right w:val="single" w:sz="4" w:space="0" w:color="auto"/>
            </w:tcBorders>
            <w:shd w:val="clear" w:color="auto" w:fill="auto"/>
            <w:noWrap/>
            <w:vAlign w:val="center"/>
            <w:hideMark/>
          </w:tcPr>
          <w:p w14:paraId="035077F0"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4115DB53" w14:textId="77777777" w:rsidR="00AB6725" w:rsidRPr="00AB6725" w:rsidRDefault="00AB6725" w:rsidP="00AB6725">
            <w:pPr>
              <w:jc w:val="right"/>
              <w:rPr>
                <w:rFonts w:cs="Arial"/>
                <w:color w:val="0070C0"/>
                <w:sz w:val="18"/>
                <w:szCs w:val="18"/>
              </w:rPr>
            </w:pPr>
            <w:r w:rsidRPr="00AB6725">
              <w:rPr>
                <w:rFonts w:cs="Arial"/>
                <w:b/>
                <w:bCs/>
                <w:sz w:val="18"/>
                <w:szCs w:val="18"/>
              </w:rPr>
              <w:t>12,324</w:t>
            </w:r>
          </w:p>
        </w:tc>
        <w:tc>
          <w:tcPr>
            <w:tcW w:w="1300" w:type="dxa"/>
            <w:tcBorders>
              <w:top w:val="nil"/>
              <w:left w:val="nil"/>
              <w:bottom w:val="single" w:sz="4" w:space="0" w:color="auto"/>
              <w:right w:val="single" w:sz="4" w:space="0" w:color="auto"/>
            </w:tcBorders>
            <w:shd w:val="clear" w:color="auto" w:fill="auto"/>
            <w:noWrap/>
            <w:vAlign w:val="center"/>
            <w:hideMark/>
          </w:tcPr>
          <w:p w14:paraId="7E8BCE47"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475637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674C463" w14:textId="77777777" w:rsidR="00AB6725" w:rsidRPr="00AB6725" w:rsidRDefault="00AB6725" w:rsidP="00AB6725">
            <w:pPr>
              <w:jc w:val="right"/>
              <w:rPr>
                <w:rFonts w:cs="Arial"/>
                <w:color w:val="0070C0"/>
                <w:sz w:val="18"/>
                <w:szCs w:val="18"/>
              </w:rPr>
            </w:pPr>
            <w:r w:rsidRPr="00AB6725">
              <w:rPr>
                <w:rFonts w:cs="Arial"/>
                <w:color w:val="000000"/>
                <w:sz w:val="18"/>
                <w:szCs w:val="18"/>
              </w:rPr>
              <w:t>726.3</w:t>
            </w:r>
          </w:p>
        </w:tc>
        <w:tc>
          <w:tcPr>
            <w:tcW w:w="1300" w:type="dxa"/>
            <w:tcBorders>
              <w:top w:val="nil"/>
              <w:left w:val="nil"/>
              <w:bottom w:val="single" w:sz="4" w:space="0" w:color="auto"/>
              <w:right w:val="single" w:sz="4" w:space="0" w:color="auto"/>
            </w:tcBorders>
            <w:shd w:val="clear" w:color="auto" w:fill="auto"/>
            <w:noWrap/>
            <w:vAlign w:val="center"/>
            <w:hideMark/>
          </w:tcPr>
          <w:p w14:paraId="389ED7BE"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0C75C54" w14:textId="77777777" w:rsidR="00AB6725" w:rsidRPr="00AB6725" w:rsidRDefault="00AB6725" w:rsidP="00AB6725">
            <w:pPr>
              <w:jc w:val="right"/>
              <w:rPr>
                <w:rFonts w:cs="Arial"/>
                <w:color w:val="0070C0"/>
                <w:sz w:val="18"/>
                <w:szCs w:val="18"/>
              </w:rPr>
            </w:pPr>
            <w:r w:rsidRPr="00AB6725">
              <w:rPr>
                <w:rFonts w:cs="Arial"/>
                <w:color w:val="000000"/>
                <w:sz w:val="18"/>
                <w:szCs w:val="18"/>
              </w:rPr>
              <w:t>11,597</w:t>
            </w:r>
          </w:p>
        </w:tc>
        <w:tc>
          <w:tcPr>
            <w:tcW w:w="1300" w:type="dxa"/>
            <w:tcBorders>
              <w:top w:val="nil"/>
              <w:left w:val="nil"/>
              <w:bottom w:val="single" w:sz="4" w:space="0" w:color="auto"/>
              <w:right w:val="single" w:sz="4" w:space="0" w:color="auto"/>
            </w:tcBorders>
            <w:shd w:val="clear" w:color="auto" w:fill="auto"/>
            <w:noWrap/>
            <w:vAlign w:val="center"/>
            <w:hideMark/>
          </w:tcPr>
          <w:p w14:paraId="3B2DE738"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B0C2DF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12,324</w:t>
            </w:r>
          </w:p>
        </w:tc>
      </w:tr>
      <w:tr w:rsidR="00AB6725" w:rsidRPr="00AB6725" w14:paraId="659071BB"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3740EEE" w14:textId="77777777" w:rsidR="00AB6725" w:rsidRPr="00AB6725" w:rsidRDefault="00AB6725" w:rsidP="00AB6725">
            <w:pPr>
              <w:rPr>
                <w:rFonts w:cs="Arial"/>
                <w:color w:val="0070C0"/>
                <w:sz w:val="18"/>
                <w:szCs w:val="18"/>
                <w:lang w:eastAsia="en-GB"/>
              </w:rPr>
            </w:pPr>
            <w:r w:rsidRPr="00AB6725">
              <w:rPr>
                <w:rFonts w:cs="Arial"/>
                <w:sz w:val="18"/>
                <w:szCs w:val="18"/>
              </w:rPr>
              <w:t>2036.37</w:t>
            </w:r>
          </w:p>
        </w:tc>
        <w:tc>
          <w:tcPr>
            <w:tcW w:w="1300" w:type="dxa"/>
            <w:tcBorders>
              <w:top w:val="nil"/>
              <w:left w:val="nil"/>
              <w:bottom w:val="single" w:sz="4" w:space="0" w:color="auto"/>
              <w:right w:val="single" w:sz="4" w:space="0" w:color="auto"/>
            </w:tcBorders>
            <w:shd w:val="clear" w:color="auto" w:fill="auto"/>
            <w:noWrap/>
            <w:vAlign w:val="center"/>
            <w:hideMark/>
          </w:tcPr>
          <w:p w14:paraId="666D8E3C" w14:textId="77777777" w:rsidR="00AB6725" w:rsidRPr="00AB6725" w:rsidRDefault="00AB6725" w:rsidP="00AB6725">
            <w:pPr>
              <w:jc w:val="right"/>
              <w:rPr>
                <w:rFonts w:cs="Arial"/>
                <w:color w:val="0070C0"/>
                <w:sz w:val="18"/>
                <w:szCs w:val="18"/>
              </w:rPr>
            </w:pPr>
            <w:r w:rsidRPr="00AB6725">
              <w:rPr>
                <w:rFonts w:cs="Arial"/>
                <w:sz w:val="18"/>
                <w:szCs w:val="18"/>
              </w:rPr>
              <w:t>12,678</w:t>
            </w:r>
          </w:p>
        </w:tc>
        <w:tc>
          <w:tcPr>
            <w:tcW w:w="1347" w:type="dxa"/>
            <w:tcBorders>
              <w:top w:val="nil"/>
              <w:left w:val="nil"/>
              <w:bottom w:val="single" w:sz="4" w:space="0" w:color="auto"/>
              <w:right w:val="single" w:sz="4" w:space="0" w:color="auto"/>
            </w:tcBorders>
            <w:shd w:val="clear" w:color="auto" w:fill="auto"/>
            <w:noWrap/>
            <w:vAlign w:val="center"/>
            <w:hideMark/>
          </w:tcPr>
          <w:p w14:paraId="13F68278"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72F7F3EE" w14:textId="77777777" w:rsidR="00AB6725" w:rsidRPr="00AB6725" w:rsidRDefault="00AB6725" w:rsidP="00AB6725">
            <w:pPr>
              <w:jc w:val="right"/>
              <w:rPr>
                <w:rFonts w:cs="Arial"/>
                <w:color w:val="0070C0"/>
                <w:sz w:val="18"/>
                <w:szCs w:val="18"/>
              </w:rPr>
            </w:pPr>
            <w:r w:rsidRPr="00AB6725">
              <w:rPr>
                <w:rFonts w:cs="Arial"/>
                <w:b/>
                <w:bCs/>
                <w:sz w:val="18"/>
                <w:szCs w:val="18"/>
              </w:rPr>
              <w:t>12,678</w:t>
            </w:r>
          </w:p>
        </w:tc>
        <w:tc>
          <w:tcPr>
            <w:tcW w:w="1300" w:type="dxa"/>
            <w:tcBorders>
              <w:top w:val="nil"/>
              <w:left w:val="nil"/>
              <w:bottom w:val="single" w:sz="4" w:space="0" w:color="auto"/>
              <w:right w:val="single" w:sz="4" w:space="0" w:color="auto"/>
            </w:tcBorders>
            <w:shd w:val="clear" w:color="auto" w:fill="auto"/>
            <w:noWrap/>
            <w:vAlign w:val="center"/>
            <w:hideMark/>
          </w:tcPr>
          <w:p w14:paraId="2D55F676"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5DCD03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32D263A" w14:textId="77777777" w:rsidR="00AB6725" w:rsidRPr="00AB6725" w:rsidRDefault="00AB6725" w:rsidP="00AB6725">
            <w:pPr>
              <w:jc w:val="right"/>
              <w:rPr>
                <w:rFonts w:cs="Arial"/>
                <w:color w:val="0070C0"/>
                <w:sz w:val="18"/>
                <w:szCs w:val="18"/>
              </w:rPr>
            </w:pPr>
            <w:r w:rsidRPr="00AB6725">
              <w:rPr>
                <w:rFonts w:cs="Arial"/>
                <w:color w:val="000000"/>
                <w:sz w:val="18"/>
                <w:szCs w:val="18"/>
              </w:rPr>
              <w:t>737.1</w:t>
            </w:r>
          </w:p>
        </w:tc>
        <w:tc>
          <w:tcPr>
            <w:tcW w:w="1300" w:type="dxa"/>
            <w:tcBorders>
              <w:top w:val="nil"/>
              <w:left w:val="nil"/>
              <w:bottom w:val="single" w:sz="4" w:space="0" w:color="auto"/>
              <w:right w:val="single" w:sz="4" w:space="0" w:color="auto"/>
            </w:tcBorders>
            <w:shd w:val="clear" w:color="auto" w:fill="auto"/>
            <w:noWrap/>
            <w:vAlign w:val="center"/>
            <w:hideMark/>
          </w:tcPr>
          <w:p w14:paraId="46203AC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D7C284E" w14:textId="77777777" w:rsidR="00AB6725" w:rsidRPr="00AB6725" w:rsidRDefault="00AB6725" w:rsidP="00AB6725">
            <w:pPr>
              <w:jc w:val="right"/>
              <w:rPr>
                <w:rFonts w:cs="Arial"/>
                <w:color w:val="0070C0"/>
                <w:sz w:val="18"/>
                <w:szCs w:val="18"/>
              </w:rPr>
            </w:pPr>
            <w:r w:rsidRPr="00AB6725">
              <w:rPr>
                <w:rFonts w:cs="Arial"/>
                <w:color w:val="000000"/>
                <w:sz w:val="18"/>
                <w:szCs w:val="18"/>
              </w:rPr>
              <w:t>11,941</w:t>
            </w:r>
          </w:p>
        </w:tc>
        <w:tc>
          <w:tcPr>
            <w:tcW w:w="1300" w:type="dxa"/>
            <w:tcBorders>
              <w:top w:val="nil"/>
              <w:left w:val="nil"/>
              <w:bottom w:val="single" w:sz="4" w:space="0" w:color="auto"/>
              <w:right w:val="single" w:sz="4" w:space="0" w:color="auto"/>
            </w:tcBorders>
            <w:shd w:val="clear" w:color="auto" w:fill="auto"/>
            <w:noWrap/>
            <w:vAlign w:val="center"/>
            <w:hideMark/>
          </w:tcPr>
          <w:p w14:paraId="7F2318C4"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007A0EA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12,678</w:t>
            </w:r>
          </w:p>
        </w:tc>
      </w:tr>
      <w:tr w:rsidR="00AB6725" w:rsidRPr="00AB6725" w14:paraId="3200854B"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681010" w14:textId="77777777" w:rsidR="00AB6725" w:rsidRPr="00AB6725" w:rsidRDefault="00AB6725" w:rsidP="00AB6725">
            <w:pPr>
              <w:rPr>
                <w:rFonts w:cs="Arial"/>
                <w:color w:val="0070C0"/>
                <w:sz w:val="18"/>
                <w:szCs w:val="18"/>
                <w:lang w:eastAsia="en-GB"/>
              </w:rPr>
            </w:pPr>
            <w:r w:rsidRPr="00AB6725">
              <w:rPr>
                <w:rFonts w:cs="Arial"/>
                <w:sz w:val="18"/>
                <w:szCs w:val="18"/>
              </w:rPr>
              <w:t>2037.38</w:t>
            </w:r>
          </w:p>
        </w:tc>
        <w:tc>
          <w:tcPr>
            <w:tcW w:w="1300" w:type="dxa"/>
            <w:tcBorders>
              <w:top w:val="nil"/>
              <w:left w:val="nil"/>
              <w:bottom w:val="single" w:sz="4" w:space="0" w:color="auto"/>
              <w:right w:val="single" w:sz="4" w:space="0" w:color="auto"/>
            </w:tcBorders>
            <w:shd w:val="clear" w:color="auto" w:fill="auto"/>
            <w:noWrap/>
            <w:vAlign w:val="center"/>
            <w:hideMark/>
          </w:tcPr>
          <w:p w14:paraId="403D2827" w14:textId="77777777" w:rsidR="00AB6725" w:rsidRPr="00AB6725" w:rsidRDefault="00AB6725" w:rsidP="00AB6725">
            <w:pPr>
              <w:jc w:val="right"/>
              <w:rPr>
                <w:rFonts w:cs="Arial"/>
                <w:color w:val="0070C0"/>
                <w:sz w:val="18"/>
                <w:szCs w:val="18"/>
              </w:rPr>
            </w:pPr>
            <w:r w:rsidRPr="00AB6725">
              <w:rPr>
                <w:rFonts w:cs="Arial"/>
                <w:sz w:val="18"/>
                <w:szCs w:val="18"/>
              </w:rPr>
              <w:t>13,042</w:t>
            </w:r>
          </w:p>
        </w:tc>
        <w:tc>
          <w:tcPr>
            <w:tcW w:w="1347" w:type="dxa"/>
            <w:tcBorders>
              <w:top w:val="nil"/>
              <w:left w:val="nil"/>
              <w:bottom w:val="single" w:sz="4" w:space="0" w:color="auto"/>
              <w:right w:val="single" w:sz="4" w:space="0" w:color="auto"/>
            </w:tcBorders>
            <w:shd w:val="clear" w:color="auto" w:fill="auto"/>
            <w:noWrap/>
            <w:vAlign w:val="center"/>
            <w:hideMark/>
          </w:tcPr>
          <w:p w14:paraId="053A4134"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26E423FC" w14:textId="77777777" w:rsidR="00AB6725" w:rsidRPr="00AB6725" w:rsidRDefault="00AB6725" w:rsidP="00AB6725">
            <w:pPr>
              <w:jc w:val="right"/>
              <w:rPr>
                <w:rFonts w:cs="Arial"/>
                <w:color w:val="0070C0"/>
                <w:sz w:val="18"/>
                <w:szCs w:val="18"/>
              </w:rPr>
            </w:pPr>
            <w:r w:rsidRPr="00AB6725">
              <w:rPr>
                <w:rFonts w:cs="Arial"/>
                <w:b/>
                <w:bCs/>
                <w:sz w:val="18"/>
                <w:szCs w:val="18"/>
              </w:rPr>
              <w:t>13,042</w:t>
            </w:r>
          </w:p>
        </w:tc>
        <w:tc>
          <w:tcPr>
            <w:tcW w:w="1300" w:type="dxa"/>
            <w:tcBorders>
              <w:top w:val="nil"/>
              <w:left w:val="nil"/>
              <w:bottom w:val="single" w:sz="4" w:space="0" w:color="auto"/>
              <w:right w:val="single" w:sz="4" w:space="0" w:color="auto"/>
            </w:tcBorders>
            <w:shd w:val="clear" w:color="auto" w:fill="auto"/>
            <w:noWrap/>
            <w:vAlign w:val="center"/>
            <w:hideMark/>
          </w:tcPr>
          <w:p w14:paraId="194547F3"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1E6011C"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FC53BC1" w14:textId="77777777" w:rsidR="00AB6725" w:rsidRPr="00AB6725" w:rsidRDefault="00AB6725" w:rsidP="00AB6725">
            <w:pPr>
              <w:jc w:val="right"/>
              <w:rPr>
                <w:rFonts w:cs="Arial"/>
                <w:color w:val="0070C0"/>
                <w:sz w:val="18"/>
                <w:szCs w:val="18"/>
              </w:rPr>
            </w:pPr>
            <w:r w:rsidRPr="00AB6725">
              <w:rPr>
                <w:rFonts w:cs="Arial"/>
                <w:color w:val="000000"/>
                <w:sz w:val="18"/>
                <w:szCs w:val="18"/>
              </w:rPr>
              <w:t>748.1</w:t>
            </w:r>
          </w:p>
        </w:tc>
        <w:tc>
          <w:tcPr>
            <w:tcW w:w="1300" w:type="dxa"/>
            <w:tcBorders>
              <w:top w:val="nil"/>
              <w:left w:val="nil"/>
              <w:bottom w:val="single" w:sz="4" w:space="0" w:color="auto"/>
              <w:right w:val="single" w:sz="4" w:space="0" w:color="auto"/>
            </w:tcBorders>
            <w:shd w:val="clear" w:color="auto" w:fill="auto"/>
            <w:noWrap/>
            <w:vAlign w:val="center"/>
            <w:hideMark/>
          </w:tcPr>
          <w:p w14:paraId="0C9237E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0766144" w14:textId="77777777" w:rsidR="00AB6725" w:rsidRPr="00AB6725" w:rsidRDefault="00AB6725" w:rsidP="00AB6725">
            <w:pPr>
              <w:jc w:val="right"/>
              <w:rPr>
                <w:rFonts w:cs="Arial"/>
                <w:color w:val="0070C0"/>
                <w:sz w:val="18"/>
                <w:szCs w:val="18"/>
              </w:rPr>
            </w:pPr>
            <w:r w:rsidRPr="00AB6725">
              <w:rPr>
                <w:rFonts w:cs="Arial"/>
                <w:color w:val="000000"/>
                <w:sz w:val="18"/>
                <w:szCs w:val="18"/>
              </w:rPr>
              <w:t>12,294</w:t>
            </w:r>
          </w:p>
        </w:tc>
        <w:tc>
          <w:tcPr>
            <w:tcW w:w="1300" w:type="dxa"/>
            <w:tcBorders>
              <w:top w:val="nil"/>
              <w:left w:val="nil"/>
              <w:bottom w:val="single" w:sz="4" w:space="0" w:color="auto"/>
              <w:right w:val="single" w:sz="4" w:space="0" w:color="auto"/>
            </w:tcBorders>
            <w:shd w:val="clear" w:color="auto" w:fill="auto"/>
            <w:noWrap/>
            <w:vAlign w:val="center"/>
            <w:hideMark/>
          </w:tcPr>
          <w:p w14:paraId="387E663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4231C46"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13,042</w:t>
            </w:r>
          </w:p>
        </w:tc>
      </w:tr>
      <w:tr w:rsidR="00AB6725" w:rsidRPr="00AB6725" w14:paraId="594BCA3F"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9065C3F" w14:textId="77777777" w:rsidR="00AB6725" w:rsidRPr="00AB6725" w:rsidRDefault="00AB6725" w:rsidP="00AB6725">
            <w:pPr>
              <w:rPr>
                <w:rFonts w:cs="Arial"/>
                <w:color w:val="0070C0"/>
                <w:sz w:val="18"/>
                <w:szCs w:val="18"/>
                <w:lang w:eastAsia="en-GB"/>
              </w:rPr>
            </w:pPr>
            <w:r w:rsidRPr="00AB6725">
              <w:rPr>
                <w:rFonts w:cs="Arial"/>
                <w:sz w:val="18"/>
                <w:szCs w:val="18"/>
              </w:rPr>
              <w:t>2038.39</w:t>
            </w:r>
          </w:p>
        </w:tc>
        <w:tc>
          <w:tcPr>
            <w:tcW w:w="1300" w:type="dxa"/>
            <w:tcBorders>
              <w:top w:val="nil"/>
              <w:left w:val="nil"/>
              <w:bottom w:val="single" w:sz="4" w:space="0" w:color="auto"/>
              <w:right w:val="single" w:sz="4" w:space="0" w:color="auto"/>
            </w:tcBorders>
            <w:shd w:val="clear" w:color="auto" w:fill="auto"/>
            <w:noWrap/>
            <w:vAlign w:val="center"/>
            <w:hideMark/>
          </w:tcPr>
          <w:p w14:paraId="640DBA18" w14:textId="77777777" w:rsidR="00AB6725" w:rsidRPr="00AB6725" w:rsidRDefault="00AB6725" w:rsidP="00AB6725">
            <w:pPr>
              <w:jc w:val="right"/>
              <w:rPr>
                <w:rFonts w:cs="Arial"/>
                <w:color w:val="0070C0"/>
                <w:sz w:val="18"/>
                <w:szCs w:val="18"/>
              </w:rPr>
            </w:pPr>
            <w:r w:rsidRPr="00AB6725">
              <w:rPr>
                <w:rFonts w:cs="Arial"/>
                <w:sz w:val="18"/>
                <w:szCs w:val="18"/>
              </w:rPr>
              <w:t>13,417</w:t>
            </w:r>
          </w:p>
        </w:tc>
        <w:tc>
          <w:tcPr>
            <w:tcW w:w="1347" w:type="dxa"/>
            <w:tcBorders>
              <w:top w:val="nil"/>
              <w:left w:val="nil"/>
              <w:bottom w:val="single" w:sz="4" w:space="0" w:color="auto"/>
              <w:right w:val="single" w:sz="4" w:space="0" w:color="auto"/>
            </w:tcBorders>
            <w:shd w:val="clear" w:color="auto" w:fill="auto"/>
            <w:noWrap/>
            <w:vAlign w:val="center"/>
            <w:hideMark/>
          </w:tcPr>
          <w:p w14:paraId="7DA9296B"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5DA6F3FE" w14:textId="77777777" w:rsidR="00AB6725" w:rsidRPr="00AB6725" w:rsidRDefault="00AB6725" w:rsidP="00AB6725">
            <w:pPr>
              <w:jc w:val="right"/>
              <w:rPr>
                <w:rFonts w:cs="Arial"/>
                <w:color w:val="0070C0"/>
                <w:sz w:val="18"/>
                <w:szCs w:val="18"/>
              </w:rPr>
            </w:pPr>
            <w:r w:rsidRPr="00AB6725">
              <w:rPr>
                <w:rFonts w:cs="Arial"/>
                <w:b/>
                <w:bCs/>
                <w:sz w:val="18"/>
                <w:szCs w:val="18"/>
              </w:rPr>
              <w:t>13,417</w:t>
            </w:r>
          </w:p>
        </w:tc>
        <w:tc>
          <w:tcPr>
            <w:tcW w:w="1300" w:type="dxa"/>
            <w:tcBorders>
              <w:top w:val="nil"/>
              <w:left w:val="nil"/>
              <w:bottom w:val="single" w:sz="4" w:space="0" w:color="auto"/>
              <w:right w:val="single" w:sz="4" w:space="0" w:color="auto"/>
            </w:tcBorders>
            <w:shd w:val="clear" w:color="auto" w:fill="auto"/>
            <w:noWrap/>
            <w:vAlign w:val="center"/>
            <w:hideMark/>
          </w:tcPr>
          <w:p w14:paraId="68EB3681"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296EDE6"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3314DC6" w14:textId="77777777" w:rsidR="00AB6725" w:rsidRPr="00AB6725" w:rsidRDefault="00AB6725" w:rsidP="00AB6725">
            <w:pPr>
              <w:jc w:val="right"/>
              <w:rPr>
                <w:rFonts w:cs="Arial"/>
                <w:color w:val="0070C0"/>
                <w:sz w:val="18"/>
                <w:szCs w:val="18"/>
              </w:rPr>
            </w:pPr>
            <w:r w:rsidRPr="00AB6725">
              <w:rPr>
                <w:rFonts w:cs="Arial"/>
                <w:color w:val="000000"/>
                <w:sz w:val="18"/>
                <w:szCs w:val="18"/>
              </w:rPr>
              <w:t>759.2</w:t>
            </w:r>
          </w:p>
        </w:tc>
        <w:tc>
          <w:tcPr>
            <w:tcW w:w="1300" w:type="dxa"/>
            <w:tcBorders>
              <w:top w:val="nil"/>
              <w:left w:val="nil"/>
              <w:bottom w:val="single" w:sz="4" w:space="0" w:color="auto"/>
              <w:right w:val="single" w:sz="4" w:space="0" w:color="auto"/>
            </w:tcBorders>
            <w:shd w:val="clear" w:color="auto" w:fill="auto"/>
            <w:noWrap/>
            <w:vAlign w:val="center"/>
            <w:hideMark/>
          </w:tcPr>
          <w:p w14:paraId="658167C4"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076A4F1" w14:textId="77777777" w:rsidR="00AB6725" w:rsidRPr="00AB6725" w:rsidRDefault="00AB6725" w:rsidP="00AB6725">
            <w:pPr>
              <w:jc w:val="right"/>
              <w:rPr>
                <w:rFonts w:cs="Arial"/>
                <w:color w:val="0070C0"/>
                <w:sz w:val="18"/>
                <w:szCs w:val="18"/>
              </w:rPr>
            </w:pPr>
            <w:r w:rsidRPr="00AB6725">
              <w:rPr>
                <w:rFonts w:cs="Arial"/>
                <w:color w:val="000000"/>
                <w:sz w:val="18"/>
                <w:szCs w:val="18"/>
              </w:rPr>
              <w:t>12,657</w:t>
            </w:r>
          </w:p>
        </w:tc>
        <w:tc>
          <w:tcPr>
            <w:tcW w:w="1300" w:type="dxa"/>
            <w:tcBorders>
              <w:top w:val="nil"/>
              <w:left w:val="nil"/>
              <w:bottom w:val="single" w:sz="4" w:space="0" w:color="auto"/>
              <w:right w:val="single" w:sz="4" w:space="0" w:color="auto"/>
            </w:tcBorders>
            <w:shd w:val="clear" w:color="auto" w:fill="auto"/>
            <w:noWrap/>
            <w:vAlign w:val="center"/>
            <w:hideMark/>
          </w:tcPr>
          <w:p w14:paraId="52A28A1D"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0996F33"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13,417</w:t>
            </w:r>
          </w:p>
        </w:tc>
      </w:tr>
      <w:tr w:rsidR="00AB6725" w:rsidRPr="00AB6725" w14:paraId="2787861B"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B9AC11B" w14:textId="77777777" w:rsidR="00AB6725" w:rsidRPr="00AB6725" w:rsidRDefault="00AB6725" w:rsidP="00AB6725">
            <w:pPr>
              <w:rPr>
                <w:rFonts w:cs="Arial"/>
                <w:color w:val="0070C0"/>
                <w:sz w:val="18"/>
                <w:szCs w:val="18"/>
                <w:lang w:eastAsia="en-GB"/>
              </w:rPr>
            </w:pPr>
            <w:r w:rsidRPr="00AB6725">
              <w:rPr>
                <w:rFonts w:cs="Arial"/>
                <w:sz w:val="18"/>
                <w:szCs w:val="18"/>
              </w:rPr>
              <w:t>2039.40</w:t>
            </w:r>
          </w:p>
        </w:tc>
        <w:tc>
          <w:tcPr>
            <w:tcW w:w="1300" w:type="dxa"/>
            <w:tcBorders>
              <w:top w:val="nil"/>
              <w:left w:val="nil"/>
              <w:bottom w:val="single" w:sz="4" w:space="0" w:color="auto"/>
              <w:right w:val="single" w:sz="4" w:space="0" w:color="auto"/>
            </w:tcBorders>
            <w:shd w:val="clear" w:color="auto" w:fill="auto"/>
            <w:noWrap/>
            <w:vAlign w:val="center"/>
            <w:hideMark/>
          </w:tcPr>
          <w:p w14:paraId="0AEF0A12" w14:textId="77777777" w:rsidR="00AB6725" w:rsidRPr="00AB6725" w:rsidRDefault="00AB6725" w:rsidP="00AB6725">
            <w:pPr>
              <w:jc w:val="right"/>
              <w:rPr>
                <w:rFonts w:cs="Arial"/>
                <w:color w:val="0070C0"/>
                <w:sz w:val="18"/>
                <w:szCs w:val="18"/>
              </w:rPr>
            </w:pPr>
            <w:r w:rsidRPr="00AB6725">
              <w:rPr>
                <w:rFonts w:cs="Arial"/>
                <w:sz w:val="18"/>
                <w:szCs w:val="18"/>
              </w:rPr>
              <w:t>14,475</w:t>
            </w:r>
          </w:p>
        </w:tc>
        <w:tc>
          <w:tcPr>
            <w:tcW w:w="1347" w:type="dxa"/>
            <w:tcBorders>
              <w:top w:val="nil"/>
              <w:left w:val="nil"/>
              <w:bottom w:val="single" w:sz="4" w:space="0" w:color="auto"/>
              <w:right w:val="single" w:sz="4" w:space="0" w:color="auto"/>
            </w:tcBorders>
            <w:shd w:val="clear" w:color="auto" w:fill="auto"/>
            <w:noWrap/>
            <w:vAlign w:val="center"/>
            <w:hideMark/>
          </w:tcPr>
          <w:p w14:paraId="0F61FF2D"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3D872263" w14:textId="77777777" w:rsidR="00AB6725" w:rsidRPr="00AB6725" w:rsidRDefault="00AB6725" w:rsidP="00AB6725">
            <w:pPr>
              <w:jc w:val="right"/>
              <w:rPr>
                <w:rFonts w:cs="Arial"/>
                <w:color w:val="0070C0"/>
                <w:sz w:val="18"/>
                <w:szCs w:val="18"/>
              </w:rPr>
            </w:pPr>
            <w:r w:rsidRPr="00AB6725">
              <w:rPr>
                <w:rFonts w:cs="Arial"/>
                <w:b/>
                <w:bCs/>
                <w:sz w:val="18"/>
                <w:szCs w:val="18"/>
              </w:rPr>
              <w:t>14,475</w:t>
            </w:r>
          </w:p>
        </w:tc>
        <w:tc>
          <w:tcPr>
            <w:tcW w:w="1300" w:type="dxa"/>
            <w:tcBorders>
              <w:top w:val="nil"/>
              <w:left w:val="nil"/>
              <w:bottom w:val="single" w:sz="4" w:space="0" w:color="auto"/>
              <w:right w:val="single" w:sz="4" w:space="0" w:color="auto"/>
            </w:tcBorders>
            <w:shd w:val="clear" w:color="auto" w:fill="auto"/>
            <w:noWrap/>
            <w:vAlign w:val="center"/>
            <w:hideMark/>
          </w:tcPr>
          <w:p w14:paraId="043EFCEC"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F798BC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4F3306B" w14:textId="77777777" w:rsidR="00AB6725" w:rsidRPr="00AB6725" w:rsidRDefault="00AB6725" w:rsidP="00AB6725">
            <w:pPr>
              <w:jc w:val="right"/>
              <w:rPr>
                <w:rFonts w:cs="Arial"/>
                <w:color w:val="0070C0"/>
                <w:sz w:val="18"/>
                <w:szCs w:val="18"/>
              </w:rPr>
            </w:pPr>
            <w:r w:rsidRPr="00AB6725">
              <w:rPr>
                <w:rFonts w:cs="Arial"/>
                <w:color w:val="000000"/>
                <w:sz w:val="18"/>
                <w:szCs w:val="18"/>
              </w:rPr>
              <w:t>770.6</w:t>
            </w:r>
          </w:p>
        </w:tc>
        <w:tc>
          <w:tcPr>
            <w:tcW w:w="1300" w:type="dxa"/>
            <w:tcBorders>
              <w:top w:val="nil"/>
              <w:left w:val="nil"/>
              <w:bottom w:val="single" w:sz="4" w:space="0" w:color="auto"/>
              <w:right w:val="single" w:sz="4" w:space="0" w:color="auto"/>
            </w:tcBorders>
            <w:shd w:val="clear" w:color="auto" w:fill="auto"/>
            <w:noWrap/>
            <w:vAlign w:val="center"/>
            <w:hideMark/>
          </w:tcPr>
          <w:p w14:paraId="309579D3"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16F5E5A" w14:textId="77777777" w:rsidR="00AB6725" w:rsidRPr="00AB6725" w:rsidRDefault="00AB6725" w:rsidP="00AB6725">
            <w:pPr>
              <w:jc w:val="right"/>
              <w:rPr>
                <w:rFonts w:cs="Arial"/>
                <w:color w:val="0070C0"/>
                <w:sz w:val="18"/>
                <w:szCs w:val="18"/>
              </w:rPr>
            </w:pPr>
            <w:r w:rsidRPr="00AB6725">
              <w:rPr>
                <w:rFonts w:cs="Arial"/>
                <w:color w:val="000000"/>
                <w:sz w:val="18"/>
                <w:szCs w:val="18"/>
              </w:rPr>
              <w:t>13,704</w:t>
            </w:r>
          </w:p>
        </w:tc>
        <w:tc>
          <w:tcPr>
            <w:tcW w:w="1300" w:type="dxa"/>
            <w:tcBorders>
              <w:top w:val="nil"/>
              <w:left w:val="nil"/>
              <w:bottom w:val="single" w:sz="4" w:space="0" w:color="auto"/>
              <w:right w:val="single" w:sz="4" w:space="0" w:color="auto"/>
            </w:tcBorders>
            <w:shd w:val="clear" w:color="auto" w:fill="auto"/>
            <w:noWrap/>
            <w:vAlign w:val="center"/>
            <w:hideMark/>
          </w:tcPr>
          <w:p w14:paraId="5883A69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D99FCE4"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14,475</w:t>
            </w:r>
          </w:p>
        </w:tc>
      </w:tr>
      <w:tr w:rsidR="00AB6725" w:rsidRPr="00AB6725" w14:paraId="3CD6232D"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5307408" w14:textId="77777777" w:rsidR="00AB6725" w:rsidRPr="00AB6725" w:rsidRDefault="00AB6725" w:rsidP="00AB6725">
            <w:pPr>
              <w:rPr>
                <w:rFonts w:cs="Arial"/>
                <w:color w:val="0070C0"/>
                <w:sz w:val="18"/>
                <w:szCs w:val="18"/>
                <w:lang w:eastAsia="en-GB"/>
              </w:rPr>
            </w:pPr>
            <w:r w:rsidRPr="00AB6725">
              <w:rPr>
                <w:rFonts w:cs="Arial"/>
                <w:sz w:val="18"/>
                <w:szCs w:val="18"/>
              </w:rPr>
              <w:t>2040.41</w:t>
            </w:r>
          </w:p>
        </w:tc>
        <w:tc>
          <w:tcPr>
            <w:tcW w:w="1300" w:type="dxa"/>
            <w:tcBorders>
              <w:top w:val="nil"/>
              <w:left w:val="nil"/>
              <w:bottom w:val="single" w:sz="4" w:space="0" w:color="auto"/>
              <w:right w:val="single" w:sz="4" w:space="0" w:color="auto"/>
            </w:tcBorders>
            <w:shd w:val="clear" w:color="auto" w:fill="auto"/>
            <w:noWrap/>
            <w:vAlign w:val="center"/>
            <w:hideMark/>
          </w:tcPr>
          <w:p w14:paraId="7EE00F8C" w14:textId="77777777" w:rsidR="00AB6725" w:rsidRPr="00AB6725" w:rsidRDefault="00AB6725" w:rsidP="00AB6725">
            <w:pPr>
              <w:jc w:val="right"/>
              <w:rPr>
                <w:rFonts w:cs="Arial"/>
                <w:color w:val="0070C0"/>
                <w:sz w:val="18"/>
                <w:szCs w:val="18"/>
              </w:rPr>
            </w:pPr>
            <w:r w:rsidRPr="00AB6725">
              <w:rPr>
                <w:rFonts w:cs="Arial"/>
                <w:sz w:val="18"/>
                <w:szCs w:val="18"/>
              </w:rPr>
              <w:t>14,891</w:t>
            </w:r>
          </w:p>
        </w:tc>
        <w:tc>
          <w:tcPr>
            <w:tcW w:w="1347" w:type="dxa"/>
            <w:tcBorders>
              <w:top w:val="nil"/>
              <w:left w:val="nil"/>
              <w:bottom w:val="single" w:sz="4" w:space="0" w:color="auto"/>
              <w:right w:val="single" w:sz="4" w:space="0" w:color="auto"/>
            </w:tcBorders>
            <w:shd w:val="clear" w:color="auto" w:fill="auto"/>
            <w:noWrap/>
            <w:vAlign w:val="center"/>
            <w:hideMark/>
          </w:tcPr>
          <w:p w14:paraId="74C17A59"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3D7F985A" w14:textId="77777777" w:rsidR="00AB6725" w:rsidRPr="00AB6725" w:rsidRDefault="00AB6725" w:rsidP="00AB6725">
            <w:pPr>
              <w:jc w:val="right"/>
              <w:rPr>
                <w:rFonts w:cs="Arial"/>
                <w:color w:val="0070C0"/>
                <w:sz w:val="18"/>
                <w:szCs w:val="18"/>
              </w:rPr>
            </w:pPr>
            <w:r w:rsidRPr="00AB6725">
              <w:rPr>
                <w:rFonts w:cs="Arial"/>
                <w:b/>
                <w:bCs/>
                <w:sz w:val="18"/>
                <w:szCs w:val="18"/>
              </w:rPr>
              <w:t>14,891</w:t>
            </w:r>
          </w:p>
        </w:tc>
        <w:tc>
          <w:tcPr>
            <w:tcW w:w="1300" w:type="dxa"/>
            <w:tcBorders>
              <w:top w:val="nil"/>
              <w:left w:val="nil"/>
              <w:bottom w:val="single" w:sz="4" w:space="0" w:color="auto"/>
              <w:right w:val="single" w:sz="4" w:space="0" w:color="auto"/>
            </w:tcBorders>
            <w:shd w:val="clear" w:color="auto" w:fill="auto"/>
            <w:noWrap/>
            <w:vAlign w:val="center"/>
            <w:hideMark/>
          </w:tcPr>
          <w:p w14:paraId="63047D73"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E4D8CEE"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0244C5F" w14:textId="77777777" w:rsidR="00AB6725" w:rsidRPr="00AB6725" w:rsidRDefault="00AB6725" w:rsidP="00AB6725">
            <w:pPr>
              <w:jc w:val="right"/>
              <w:rPr>
                <w:rFonts w:cs="Arial"/>
                <w:color w:val="0070C0"/>
                <w:sz w:val="18"/>
                <w:szCs w:val="18"/>
              </w:rPr>
            </w:pPr>
            <w:r w:rsidRPr="00AB6725">
              <w:rPr>
                <w:rFonts w:cs="Arial"/>
                <w:color w:val="000000"/>
                <w:sz w:val="18"/>
                <w:szCs w:val="18"/>
              </w:rPr>
              <w:t>782.2</w:t>
            </w:r>
          </w:p>
        </w:tc>
        <w:tc>
          <w:tcPr>
            <w:tcW w:w="1300" w:type="dxa"/>
            <w:tcBorders>
              <w:top w:val="nil"/>
              <w:left w:val="nil"/>
              <w:bottom w:val="single" w:sz="4" w:space="0" w:color="auto"/>
              <w:right w:val="single" w:sz="4" w:space="0" w:color="auto"/>
            </w:tcBorders>
            <w:shd w:val="clear" w:color="auto" w:fill="auto"/>
            <w:noWrap/>
            <w:vAlign w:val="center"/>
            <w:hideMark/>
          </w:tcPr>
          <w:p w14:paraId="4B929E0B"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2C5FB6A" w14:textId="77777777" w:rsidR="00AB6725" w:rsidRPr="00AB6725" w:rsidRDefault="00AB6725" w:rsidP="00AB6725">
            <w:pPr>
              <w:jc w:val="right"/>
              <w:rPr>
                <w:rFonts w:cs="Arial"/>
                <w:color w:val="0070C0"/>
                <w:sz w:val="18"/>
                <w:szCs w:val="18"/>
              </w:rPr>
            </w:pPr>
            <w:r w:rsidRPr="00AB6725">
              <w:rPr>
                <w:rFonts w:cs="Arial"/>
                <w:color w:val="000000"/>
                <w:sz w:val="18"/>
                <w:szCs w:val="18"/>
              </w:rPr>
              <w:t>14,109</w:t>
            </w:r>
          </w:p>
        </w:tc>
        <w:tc>
          <w:tcPr>
            <w:tcW w:w="1300" w:type="dxa"/>
            <w:tcBorders>
              <w:top w:val="nil"/>
              <w:left w:val="nil"/>
              <w:bottom w:val="single" w:sz="4" w:space="0" w:color="auto"/>
              <w:right w:val="single" w:sz="4" w:space="0" w:color="auto"/>
            </w:tcBorders>
            <w:shd w:val="clear" w:color="auto" w:fill="auto"/>
            <w:noWrap/>
            <w:vAlign w:val="center"/>
            <w:hideMark/>
          </w:tcPr>
          <w:p w14:paraId="104AEF2C"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5C6206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14,891</w:t>
            </w:r>
          </w:p>
        </w:tc>
      </w:tr>
      <w:tr w:rsidR="00AB6725" w:rsidRPr="00AB6725" w14:paraId="2ACDF5B4"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1056AD" w14:textId="77777777" w:rsidR="00AB6725" w:rsidRPr="00AB6725" w:rsidRDefault="00AB6725" w:rsidP="00AB6725">
            <w:pPr>
              <w:rPr>
                <w:rFonts w:cs="Arial"/>
                <w:color w:val="0070C0"/>
                <w:sz w:val="18"/>
                <w:szCs w:val="18"/>
                <w:lang w:eastAsia="en-GB"/>
              </w:rPr>
            </w:pPr>
            <w:r w:rsidRPr="00AB6725">
              <w:rPr>
                <w:rFonts w:cs="Arial"/>
                <w:sz w:val="18"/>
                <w:szCs w:val="18"/>
              </w:rPr>
              <w:t>2041.42</w:t>
            </w:r>
          </w:p>
        </w:tc>
        <w:tc>
          <w:tcPr>
            <w:tcW w:w="1300" w:type="dxa"/>
            <w:tcBorders>
              <w:top w:val="nil"/>
              <w:left w:val="nil"/>
              <w:bottom w:val="single" w:sz="4" w:space="0" w:color="auto"/>
              <w:right w:val="single" w:sz="4" w:space="0" w:color="auto"/>
            </w:tcBorders>
            <w:shd w:val="clear" w:color="auto" w:fill="auto"/>
            <w:noWrap/>
            <w:vAlign w:val="center"/>
            <w:hideMark/>
          </w:tcPr>
          <w:p w14:paraId="53DA292D" w14:textId="77777777" w:rsidR="00AB6725" w:rsidRPr="00AB6725" w:rsidRDefault="00AB6725" w:rsidP="00AB6725">
            <w:pPr>
              <w:jc w:val="right"/>
              <w:rPr>
                <w:rFonts w:cs="Arial"/>
                <w:color w:val="0070C0"/>
                <w:sz w:val="18"/>
                <w:szCs w:val="18"/>
              </w:rPr>
            </w:pPr>
            <w:r w:rsidRPr="00AB6725">
              <w:rPr>
                <w:rFonts w:cs="Arial"/>
                <w:sz w:val="18"/>
                <w:szCs w:val="18"/>
              </w:rPr>
              <w:t>15,319</w:t>
            </w:r>
          </w:p>
        </w:tc>
        <w:tc>
          <w:tcPr>
            <w:tcW w:w="1347" w:type="dxa"/>
            <w:tcBorders>
              <w:top w:val="nil"/>
              <w:left w:val="nil"/>
              <w:bottom w:val="single" w:sz="4" w:space="0" w:color="auto"/>
              <w:right w:val="single" w:sz="4" w:space="0" w:color="auto"/>
            </w:tcBorders>
            <w:shd w:val="clear" w:color="auto" w:fill="auto"/>
            <w:noWrap/>
            <w:vAlign w:val="center"/>
            <w:hideMark/>
          </w:tcPr>
          <w:p w14:paraId="736A86C6"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58C15B8E" w14:textId="77777777" w:rsidR="00AB6725" w:rsidRPr="00AB6725" w:rsidRDefault="00AB6725" w:rsidP="00AB6725">
            <w:pPr>
              <w:jc w:val="right"/>
              <w:rPr>
                <w:rFonts w:cs="Arial"/>
                <w:color w:val="0070C0"/>
                <w:sz w:val="18"/>
                <w:szCs w:val="18"/>
              </w:rPr>
            </w:pPr>
            <w:r w:rsidRPr="00AB6725">
              <w:rPr>
                <w:rFonts w:cs="Arial"/>
                <w:b/>
                <w:bCs/>
                <w:sz w:val="18"/>
                <w:szCs w:val="18"/>
              </w:rPr>
              <w:t>15,319</w:t>
            </w:r>
          </w:p>
        </w:tc>
        <w:tc>
          <w:tcPr>
            <w:tcW w:w="1300" w:type="dxa"/>
            <w:tcBorders>
              <w:top w:val="nil"/>
              <w:left w:val="nil"/>
              <w:bottom w:val="single" w:sz="4" w:space="0" w:color="auto"/>
              <w:right w:val="single" w:sz="4" w:space="0" w:color="auto"/>
            </w:tcBorders>
            <w:shd w:val="clear" w:color="auto" w:fill="auto"/>
            <w:noWrap/>
            <w:vAlign w:val="center"/>
            <w:hideMark/>
          </w:tcPr>
          <w:p w14:paraId="0CE239B8"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DCD073B"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D9B55E7" w14:textId="77777777" w:rsidR="00AB6725" w:rsidRPr="00AB6725" w:rsidRDefault="00AB6725" w:rsidP="00AB6725">
            <w:pPr>
              <w:jc w:val="right"/>
              <w:rPr>
                <w:rFonts w:cs="Arial"/>
                <w:color w:val="0070C0"/>
                <w:sz w:val="18"/>
                <w:szCs w:val="18"/>
              </w:rPr>
            </w:pPr>
            <w:r w:rsidRPr="00AB6725">
              <w:rPr>
                <w:rFonts w:cs="Arial"/>
                <w:color w:val="000000"/>
                <w:sz w:val="18"/>
                <w:szCs w:val="18"/>
              </w:rPr>
              <w:t>794</w:t>
            </w:r>
          </w:p>
        </w:tc>
        <w:tc>
          <w:tcPr>
            <w:tcW w:w="1300" w:type="dxa"/>
            <w:tcBorders>
              <w:top w:val="nil"/>
              <w:left w:val="nil"/>
              <w:bottom w:val="single" w:sz="4" w:space="0" w:color="auto"/>
              <w:right w:val="single" w:sz="4" w:space="0" w:color="auto"/>
            </w:tcBorders>
            <w:shd w:val="clear" w:color="auto" w:fill="auto"/>
            <w:noWrap/>
            <w:vAlign w:val="center"/>
            <w:hideMark/>
          </w:tcPr>
          <w:p w14:paraId="6B3B2EDF"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8820471" w14:textId="77777777" w:rsidR="00AB6725" w:rsidRPr="00AB6725" w:rsidRDefault="00AB6725" w:rsidP="00AB6725">
            <w:pPr>
              <w:jc w:val="right"/>
              <w:rPr>
                <w:rFonts w:cs="Arial"/>
                <w:color w:val="0070C0"/>
                <w:sz w:val="18"/>
                <w:szCs w:val="18"/>
              </w:rPr>
            </w:pPr>
            <w:r w:rsidRPr="00AB6725">
              <w:rPr>
                <w:rFonts w:cs="Arial"/>
                <w:color w:val="000000"/>
                <w:sz w:val="18"/>
                <w:szCs w:val="18"/>
              </w:rPr>
              <w:t>14,525</w:t>
            </w:r>
          </w:p>
        </w:tc>
        <w:tc>
          <w:tcPr>
            <w:tcW w:w="1300" w:type="dxa"/>
            <w:tcBorders>
              <w:top w:val="nil"/>
              <w:left w:val="nil"/>
              <w:bottom w:val="single" w:sz="4" w:space="0" w:color="auto"/>
              <w:right w:val="single" w:sz="4" w:space="0" w:color="auto"/>
            </w:tcBorders>
            <w:shd w:val="clear" w:color="auto" w:fill="auto"/>
            <w:noWrap/>
            <w:vAlign w:val="center"/>
            <w:hideMark/>
          </w:tcPr>
          <w:p w14:paraId="0EF13E64"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7F345E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15,319</w:t>
            </w:r>
          </w:p>
        </w:tc>
      </w:tr>
      <w:tr w:rsidR="00AB6725" w:rsidRPr="00AB6725" w14:paraId="1517D84D"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57D01C" w14:textId="77777777" w:rsidR="00AB6725" w:rsidRPr="00AB6725" w:rsidRDefault="00AB6725" w:rsidP="00AB6725">
            <w:pPr>
              <w:rPr>
                <w:rFonts w:cs="Arial"/>
                <w:color w:val="0070C0"/>
                <w:sz w:val="18"/>
                <w:szCs w:val="18"/>
                <w:lang w:eastAsia="en-GB"/>
              </w:rPr>
            </w:pPr>
            <w:r w:rsidRPr="00AB6725">
              <w:rPr>
                <w:rFonts w:cs="Arial"/>
                <w:sz w:val="18"/>
                <w:szCs w:val="18"/>
              </w:rPr>
              <w:t>2042.43</w:t>
            </w:r>
          </w:p>
        </w:tc>
        <w:tc>
          <w:tcPr>
            <w:tcW w:w="1300" w:type="dxa"/>
            <w:tcBorders>
              <w:top w:val="nil"/>
              <w:left w:val="nil"/>
              <w:bottom w:val="single" w:sz="4" w:space="0" w:color="auto"/>
              <w:right w:val="single" w:sz="4" w:space="0" w:color="auto"/>
            </w:tcBorders>
            <w:shd w:val="clear" w:color="auto" w:fill="auto"/>
            <w:noWrap/>
            <w:vAlign w:val="center"/>
            <w:hideMark/>
          </w:tcPr>
          <w:p w14:paraId="55D79438" w14:textId="77777777" w:rsidR="00AB6725" w:rsidRPr="00AB6725" w:rsidRDefault="00AB6725" w:rsidP="00AB6725">
            <w:pPr>
              <w:jc w:val="right"/>
              <w:rPr>
                <w:rFonts w:cs="Arial"/>
                <w:color w:val="0070C0"/>
                <w:sz w:val="18"/>
                <w:szCs w:val="18"/>
              </w:rPr>
            </w:pPr>
            <w:r w:rsidRPr="00AB6725">
              <w:rPr>
                <w:rFonts w:cs="Arial"/>
                <w:sz w:val="18"/>
                <w:szCs w:val="18"/>
              </w:rPr>
              <w:t>15,759</w:t>
            </w:r>
          </w:p>
        </w:tc>
        <w:tc>
          <w:tcPr>
            <w:tcW w:w="1347" w:type="dxa"/>
            <w:tcBorders>
              <w:top w:val="nil"/>
              <w:left w:val="nil"/>
              <w:bottom w:val="single" w:sz="4" w:space="0" w:color="auto"/>
              <w:right w:val="single" w:sz="4" w:space="0" w:color="auto"/>
            </w:tcBorders>
            <w:shd w:val="clear" w:color="auto" w:fill="auto"/>
            <w:noWrap/>
            <w:vAlign w:val="center"/>
            <w:hideMark/>
          </w:tcPr>
          <w:p w14:paraId="4A5DFE36"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12EE3D9A" w14:textId="77777777" w:rsidR="00AB6725" w:rsidRPr="00AB6725" w:rsidRDefault="00AB6725" w:rsidP="00AB6725">
            <w:pPr>
              <w:jc w:val="right"/>
              <w:rPr>
                <w:rFonts w:cs="Arial"/>
                <w:color w:val="0070C0"/>
                <w:sz w:val="18"/>
                <w:szCs w:val="18"/>
              </w:rPr>
            </w:pPr>
            <w:r w:rsidRPr="00AB6725">
              <w:rPr>
                <w:rFonts w:cs="Arial"/>
                <w:b/>
                <w:bCs/>
                <w:sz w:val="18"/>
                <w:szCs w:val="18"/>
              </w:rPr>
              <w:t>15,759</w:t>
            </w:r>
          </w:p>
        </w:tc>
        <w:tc>
          <w:tcPr>
            <w:tcW w:w="1300" w:type="dxa"/>
            <w:tcBorders>
              <w:top w:val="nil"/>
              <w:left w:val="nil"/>
              <w:bottom w:val="single" w:sz="4" w:space="0" w:color="auto"/>
              <w:right w:val="single" w:sz="4" w:space="0" w:color="auto"/>
            </w:tcBorders>
            <w:shd w:val="clear" w:color="auto" w:fill="auto"/>
            <w:noWrap/>
            <w:vAlign w:val="center"/>
            <w:hideMark/>
          </w:tcPr>
          <w:p w14:paraId="58BE0A92"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0DA863C6"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0086984" w14:textId="77777777" w:rsidR="00AB6725" w:rsidRPr="00AB6725" w:rsidRDefault="00AB6725" w:rsidP="00AB6725">
            <w:pPr>
              <w:jc w:val="right"/>
              <w:rPr>
                <w:rFonts w:cs="Arial"/>
                <w:color w:val="0070C0"/>
                <w:sz w:val="18"/>
                <w:szCs w:val="18"/>
              </w:rPr>
            </w:pPr>
            <w:r w:rsidRPr="00AB6725">
              <w:rPr>
                <w:rFonts w:cs="Arial"/>
                <w:color w:val="000000"/>
                <w:sz w:val="18"/>
                <w:szCs w:val="18"/>
              </w:rPr>
              <w:t>806</w:t>
            </w:r>
          </w:p>
        </w:tc>
        <w:tc>
          <w:tcPr>
            <w:tcW w:w="1300" w:type="dxa"/>
            <w:tcBorders>
              <w:top w:val="nil"/>
              <w:left w:val="nil"/>
              <w:bottom w:val="single" w:sz="4" w:space="0" w:color="auto"/>
              <w:right w:val="single" w:sz="4" w:space="0" w:color="auto"/>
            </w:tcBorders>
            <w:shd w:val="clear" w:color="auto" w:fill="auto"/>
            <w:noWrap/>
            <w:vAlign w:val="center"/>
            <w:hideMark/>
          </w:tcPr>
          <w:p w14:paraId="2DC4A47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BE6A6A6" w14:textId="77777777" w:rsidR="00AB6725" w:rsidRPr="00AB6725" w:rsidRDefault="00AB6725" w:rsidP="00AB6725">
            <w:pPr>
              <w:jc w:val="right"/>
              <w:rPr>
                <w:rFonts w:cs="Arial"/>
                <w:color w:val="0070C0"/>
                <w:sz w:val="18"/>
                <w:szCs w:val="18"/>
              </w:rPr>
            </w:pPr>
            <w:r w:rsidRPr="00AB6725">
              <w:rPr>
                <w:rFonts w:cs="Arial"/>
                <w:color w:val="000000"/>
                <w:sz w:val="18"/>
                <w:szCs w:val="18"/>
              </w:rPr>
              <w:t>14,953</w:t>
            </w:r>
          </w:p>
        </w:tc>
        <w:tc>
          <w:tcPr>
            <w:tcW w:w="1300" w:type="dxa"/>
            <w:tcBorders>
              <w:top w:val="nil"/>
              <w:left w:val="nil"/>
              <w:bottom w:val="single" w:sz="4" w:space="0" w:color="auto"/>
              <w:right w:val="single" w:sz="4" w:space="0" w:color="auto"/>
            </w:tcBorders>
            <w:shd w:val="clear" w:color="auto" w:fill="auto"/>
            <w:noWrap/>
            <w:vAlign w:val="center"/>
            <w:hideMark/>
          </w:tcPr>
          <w:p w14:paraId="0A940F5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D1D38C5"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15,759</w:t>
            </w:r>
          </w:p>
        </w:tc>
      </w:tr>
      <w:tr w:rsidR="00AB6725" w:rsidRPr="00AB6725" w14:paraId="6E913628"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ED1C9D4" w14:textId="77777777" w:rsidR="00AB6725" w:rsidRPr="00AB6725" w:rsidRDefault="00AB6725" w:rsidP="00AB6725">
            <w:pPr>
              <w:rPr>
                <w:rFonts w:cs="Arial"/>
                <w:color w:val="0070C0"/>
                <w:sz w:val="18"/>
                <w:szCs w:val="18"/>
                <w:lang w:eastAsia="en-GB"/>
              </w:rPr>
            </w:pPr>
            <w:r w:rsidRPr="00AB6725">
              <w:rPr>
                <w:rFonts w:cs="Arial"/>
                <w:sz w:val="18"/>
                <w:szCs w:val="18"/>
              </w:rPr>
              <w:t>2043.44</w:t>
            </w:r>
          </w:p>
        </w:tc>
        <w:tc>
          <w:tcPr>
            <w:tcW w:w="1300" w:type="dxa"/>
            <w:tcBorders>
              <w:top w:val="nil"/>
              <w:left w:val="nil"/>
              <w:bottom w:val="single" w:sz="4" w:space="0" w:color="auto"/>
              <w:right w:val="single" w:sz="4" w:space="0" w:color="auto"/>
            </w:tcBorders>
            <w:shd w:val="clear" w:color="auto" w:fill="auto"/>
            <w:noWrap/>
            <w:vAlign w:val="center"/>
            <w:hideMark/>
          </w:tcPr>
          <w:p w14:paraId="6138AB45" w14:textId="77777777" w:rsidR="00AB6725" w:rsidRPr="00AB6725" w:rsidRDefault="00AB6725" w:rsidP="00AB6725">
            <w:pPr>
              <w:jc w:val="right"/>
              <w:rPr>
                <w:rFonts w:cs="Arial"/>
                <w:color w:val="0070C0"/>
                <w:sz w:val="18"/>
                <w:szCs w:val="18"/>
              </w:rPr>
            </w:pPr>
            <w:r w:rsidRPr="00AB6725">
              <w:rPr>
                <w:rFonts w:cs="Arial"/>
                <w:sz w:val="18"/>
                <w:szCs w:val="18"/>
              </w:rPr>
              <w:t>16,211</w:t>
            </w:r>
          </w:p>
        </w:tc>
        <w:tc>
          <w:tcPr>
            <w:tcW w:w="1347" w:type="dxa"/>
            <w:tcBorders>
              <w:top w:val="nil"/>
              <w:left w:val="nil"/>
              <w:bottom w:val="single" w:sz="4" w:space="0" w:color="auto"/>
              <w:right w:val="single" w:sz="4" w:space="0" w:color="auto"/>
            </w:tcBorders>
            <w:shd w:val="clear" w:color="auto" w:fill="auto"/>
            <w:noWrap/>
            <w:vAlign w:val="center"/>
            <w:hideMark/>
          </w:tcPr>
          <w:p w14:paraId="560F6D6D"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28E5D600" w14:textId="77777777" w:rsidR="00AB6725" w:rsidRPr="00AB6725" w:rsidRDefault="00AB6725" w:rsidP="00AB6725">
            <w:pPr>
              <w:jc w:val="right"/>
              <w:rPr>
                <w:rFonts w:cs="Arial"/>
                <w:color w:val="0070C0"/>
                <w:sz w:val="18"/>
                <w:szCs w:val="18"/>
              </w:rPr>
            </w:pPr>
            <w:r w:rsidRPr="00AB6725">
              <w:rPr>
                <w:rFonts w:cs="Arial"/>
                <w:b/>
                <w:bCs/>
                <w:sz w:val="18"/>
                <w:szCs w:val="18"/>
              </w:rPr>
              <w:t>16,211</w:t>
            </w:r>
          </w:p>
        </w:tc>
        <w:tc>
          <w:tcPr>
            <w:tcW w:w="1300" w:type="dxa"/>
            <w:tcBorders>
              <w:top w:val="nil"/>
              <w:left w:val="nil"/>
              <w:bottom w:val="single" w:sz="4" w:space="0" w:color="auto"/>
              <w:right w:val="single" w:sz="4" w:space="0" w:color="auto"/>
            </w:tcBorders>
            <w:shd w:val="clear" w:color="auto" w:fill="auto"/>
            <w:noWrap/>
            <w:vAlign w:val="center"/>
            <w:hideMark/>
          </w:tcPr>
          <w:p w14:paraId="144F8AF4"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A927B05"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0865A7C" w14:textId="77777777" w:rsidR="00AB6725" w:rsidRPr="00AB6725" w:rsidRDefault="00AB6725" w:rsidP="00AB6725">
            <w:pPr>
              <w:jc w:val="right"/>
              <w:rPr>
                <w:rFonts w:cs="Arial"/>
                <w:color w:val="0070C0"/>
                <w:sz w:val="18"/>
                <w:szCs w:val="18"/>
              </w:rPr>
            </w:pPr>
            <w:r w:rsidRPr="00AB6725">
              <w:rPr>
                <w:rFonts w:cs="Arial"/>
                <w:color w:val="000000"/>
                <w:sz w:val="18"/>
                <w:szCs w:val="18"/>
              </w:rPr>
              <w:t>818.2</w:t>
            </w:r>
          </w:p>
        </w:tc>
        <w:tc>
          <w:tcPr>
            <w:tcW w:w="1300" w:type="dxa"/>
            <w:tcBorders>
              <w:top w:val="nil"/>
              <w:left w:val="nil"/>
              <w:bottom w:val="single" w:sz="4" w:space="0" w:color="auto"/>
              <w:right w:val="single" w:sz="4" w:space="0" w:color="auto"/>
            </w:tcBorders>
            <w:shd w:val="clear" w:color="auto" w:fill="auto"/>
            <w:noWrap/>
            <w:vAlign w:val="center"/>
            <w:hideMark/>
          </w:tcPr>
          <w:p w14:paraId="6D4A47EC"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5B612C2" w14:textId="77777777" w:rsidR="00AB6725" w:rsidRPr="00AB6725" w:rsidRDefault="00AB6725" w:rsidP="00AB6725">
            <w:pPr>
              <w:jc w:val="right"/>
              <w:rPr>
                <w:rFonts w:cs="Arial"/>
                <w:color w:val="0070C0"/>
                <w:sz w:val="18"/>
                <w:szCs w:val="18"/>
              </w:rPr>
            </w:pPr>
            <w:r w:rsidRPr="00AB6725">
              <w:rPr>
                <w:rFonts w:cs="Arial"/>
                <w:color w:val="000000"/>
                <w:sz w:val="18"/>
                <w:szCs w:val="18"/>
              </w:rPr>
              <w:t>15,393</w:t>
            </w:r>
          </w:p>
        </w:tc>
        <w:tc>
          <w:tcPr>
            <w:tcW w:w="1300" w:type="dxa"/>
            <w:tcBorders>
              <w:top w:val="nil"/>
              <w:left w:val="nil"/>
              <w:bottom w:val="single" w:sz="4" w:space="0" w:color="auto"/>
              <w:right w:val="single" w:sz="4" w:space="0" w:color="auto"/>
            </w:tcBorders>
            <w:shd w:val="clear" w:color="auto" w:fill="auto"/>
            <w:noWrap/>
            <w:vAlign w:val="center"/>
            <w:hideMark/>
          </w:tcPr>
          <w:p w14:paraId="44FA773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7BC518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16,211</w:t>
            </w:r>
          </w:p>
        </w:tc>
      </w:tr>
      <w:tr w:rsidR="00AB6725" w:rsidRPr="00AB6725" w14:paraId="5960045D"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D7959D" w14:textId="77777777" w:rsidR="00AB6725" w:rsidRPr="00AB6725" w:rsidRDefault="00AB6725" w:rsidP="00AB6725">
            <w:pPr>
              <w:rPr>
                <w:rFonts w:cs="Arial"/>
                <w:color w:val="0070C0"/>
                <w:sz w:val="18"/>
                <w:szCs w:val="18"/>
                <w:lang w:eastAsia="en-GB"/>
              </w:rPr>
            </w:pPr>
            <w:r w:rsidRPr="00AB6725">
              <w:rPr>
                <w:rFonts w:cs="Arial"/>
                <w:sz w:val="18"/>
                <w:szCs w:val="18"/>
              </w:rPr>
              <w:t>2044.45</w:t>
            </w:r>
          </w:p>
        </w:tc>
        <w:tc>
          <w:tcPr>
            <w:tcW w:w="1300" w:type="dxa"/>
            <w:tcBorders>
              <w:top w:val="nil"/>
              <w:left w:val="nil"/>
              <w:bottom w:val="single" w:sz="4" w:space="0" w:color="auto"/>
              <w:right w:val="single" w:sz="4" w:space="0" w:color="auto"/>
            </w:tcBorders>
            <w:shd w:val="clear" w:color="auto" w:fill="auto"/>
            <w:noWrap/>
            <w:vAlign w:val="center"/>
            <w:hideMark/>
          </w:tcPr>
          <w:p w14:paraId="10939642" w14:textId="77777777" w:rsidR="00AB6725" w:rsidRPr="00AB6725" w:rsidRDefault="00AB6725" w:rsidP="00AB6725">
            <w:pPr>
              <w:jc w:val="right"/>
              <w:rPr>
                <w:rFonts w:cs="Arial"/>
                <w:color w:val="0070C0"/>
                <w:sz w:val="18"/>
                <w:szCs w:val="18"/>
              </w:rPr>
            </w:pPr>
            <w:r w:rsidRPr="00AB6725">
              <w:rPr>
                <w:rFonts w:cs="Arial"/>
                <w:sz w:val="18"/>
                <w:szCs w:val="18"/>
              </w:rPr>
              <w:t>16,677</w:t>
            </w:r>
          </w:p>
        </w:tc>
        <w:tc>
          <w:tcPr>
            <w:tcW w:w="1347" w:type="dxa"/>
            <w:tcBorders>
              <w:top w:val="nil"/>
              <w:left w:val="nil"/>
              <w:bottom w:val="single" w:sz="4" w:space="0" w:color="auto"/>
              <w:right w:val="single" w:sz="4" w:space="0" w:color="auto"/>
            </w:tcBorders>
            <w:shd w:val="clear" w:color="auto" w:fill="auto"/>
            <w:noWrap/>
            <w:vAlign w:val="center"/>
            <w:hideMark/>
          </w:tcPr>
          <w:p w14:paraId="08F81CE0"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31786803" w14:textId="77777777" w:rsidR="00AB6725" w:rsidRPr="00AB6725" w:rsidRDefault="00AB6725" w:rsidP="00AB6725">
            <w:pPr>
              <w:jc w:val="right"/>
              <w:rPr>
                <w:rFonts w:cs="Arial"/>
                <w:color w:val="0070C0"/>
                <w:sz w:val="18"/>
                <w:szCs w:val="18"/>
              </w:rPr>
            </w:pPr>
            <w:r w:rsidRPr="00AB6725">
              <w:rPr>
                <w:rFonts w:cs="Arial"/>
                <w:b/>
                <w:bCs/>
                <w:sz w:val="18"/>
                <w:szCs w:val="18"/>
              </w:rPr>
              <w:t>16,677</w:t>
            </w:r>
          </w:p>
        </w:tc>
        <w:tc>
          <w:tcPr>
            <w:tcW w:w="1300" w:type="dxa"/>
            <w:tcBorders>
              <w:top w:val="nil"/>
              <w:left w:val="nil"/>
              <w:bottom w:val="single" w:sz="4" w:space="0" w:color="auto"/>
              <w:right w:val="single" w:sz="4" w:space="0" w:color="auto"/>
            </w:tcBorders>
            <w:shd w:val="clear" w:color="auto" w:fill="auto"/>
            <w:noWrap/>
            <w:vAlign w:val="center"/>
            <w:hideMark/>
          </w:tcPr>
          <w:p w14:paraId="733AFC20"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8E74AF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1C32C802" w14:textId="77777777" w:rsidR="00AB6725" w:rsidRPr="00AB6725" w:rsidRDefault="00AB6725" w:rsidP="00AB6725">
            <w:pPr>
              <w:jc w:val="right"/>
              <w:rPr>
                <w:rFonts w:cs="Arial"/>
                <w:color w:val="0070C0"/>
                <w:sz w:val="18"/>
                <w:szCs w:val="18"/>
              </w:rPr>
            </w:pPr>
            <w:r w:rsidRPr="00AB6725">
              <w:rPr>
                <w:rFonts w:cs="Arial"/>
                <w:color w:val="000000"/>
                <w:sz w:val="18"/>
                <w:szCs w:val="18"/>
              </w:rPr>
              <w:t>830.6</w:t>
            </w:r>
          </w:p>
        </w:tc>
        <w:tc>
          <w:tcPr>
            <w:tcW w:w="1300" w:type="dxa"/>
            <w:tcBorders>
              <w:top w:val="nil"/>
              <w:left w:val="nil"/>
              <w:bottom w:val="single" w:sz="4" w:space="0" w:color="auto"/>
              <w:right w:val="single" w:sz="4" w:space="0" w:color="auto"/>
            </w:tcBorders>
            <w:shd w:val="clear" w:color="auto" w:fill="auto"/>
            <w:noWrap/>
            <w:vAlign w:val="center"/>
            <w:hideMark/>
          </w:tcPr>
          <w:p w14:paraId="632FC10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A0C19C2" w14:textId="77777777" w:rsidR="00AB6725" w:rsidRPr="00AB6725" w:rsidRDefault="00AB6725" w:rsidP="00AB6725">
            <w:pPr>
              <w:jc w:val="right"/>
              <w:rPr>
                <w:rFonts w:cs="Arial"/>
                <w:color w:val="0070C0"/>
                <w:sz w:val="18"/>
                <w:szCs w:val="18"/>
              </w:rPr>
            </w:pPr>
            <w:r w:rsidRPr="00AB6725">
              <w:rPr>
                <w:rFonts w:cs="Arial"/>
                <w:color w:val="000000"/>
                <w:sz w:val="18"/>
                <w:szCs w:val="18"/>
              </w:rPr>
              <w:t>15,847</w:t>
            </w:r>
          </w:p>
        </w:tc>
        <w:tc>
          <w:tcPr>
            <w:tcW w:w="1300" w:type="dxa"/>
            <w:tcBorders>
              <w:top w:val="nil"/>
              <w:left w:val="nil"/>
              <w:bottom w:val="single" w:sz="4" w:space="0" w:color="auto"/>
              <w:right w:val="single" w:sz="4" w:space="0" w:color="auto"/>
            </w:tcBorders>
            <w:shd w:val="clear" w:color="auto" w:fill="auto"/>
            <w:noWrap/>
            <w:vAlign w:val="center"/>
            <w:hideMark/>
          </w:tcPr>
          <w:p w14:paraId="7D44EB82"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580BD7B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16,677</w:t>
            </w:r>
          </w:p>
        </w:tc>
      </w:tr>
      <w:tr w:rsidR="00AB6725" w:rsidRPr="00AB6725" w14:paraId="39683C40"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943F0C" w14:textId="77777777" w:rsidR="00AB6725" w:rsidRPr="00AB6725" w:rsidRDefault="00AB6725" w:rsidP="00AB6725">
            <w:pPr>
              <w:rPr>
                <w:rFonts w:cs="Arial"/>
                <w:color w:val="0070C0"/>
                <w:sz w:val="18"/>
                <w:szCs w:val="18"/>
                <w:lang w:eastAsia="en-GB"/>
              </w:rPr>
            </w:pPr>
            <w:r w:rsidRPr="00AB6725">
              <w:rPr>
                <w:rFonts w:cs="Arial"/>
                <w:sz w:val="18"/>
                <w:szCs w:val="18"/>
              </w:rPr>
              <w:t>2045.46</w:t>
            </w:r>
          </w:p>
        </w:tc>
        <w:tc>
          <w:tcPr>
            <w:tcW w:w="1300" w:type="dxa"/>
            <w:tcBorders>
              <w:top w:val="nil"/>
              <w:left w:val="nil"/>
              <w:bottom w:val="single" w:sz="4" w:space="0" w:color="auto"/>
              <w:right w:val="single" w:sz="4" w:space="0" w:color="auto"/>
            </w:tcBorders>
            <w:shd w:val="clear" w:color="auto" w:fill="auto"/>
            <w:noWrap/>
            <w:vAlign w:val="center"/>
            <w:hideMark/>
          </w:tcPr>
          <w:p w14:paraId="79439256" w14:textId="77777777" w:rsidR="00AB6725" w:rsidRPr="00AB6725" w:rsidRDefault="00AB6725" w:rsidP="00AB6725">
            <w:pPr>
              <w:jc w:val="right"/>
              <w:rPr>
                <w:rFonts w:cs="Arial"/>
                <w:color w:val="0070C0"/>
                <w:sz w:val="18"/>
                <w:szCs w:val="18"/>
              </w:rPr>
            </w:pPr>
            <w:r w:rsidRPr="00AB6725">
              <w:rPr>
                <w:rFonts w:cs="Arial"/>
                <w:sz w:val="18"/>
                <w:szCs w:val="18"/>
              </w:rPr>
              <w:t>16,359</w:t>
            </w:r>
          </w:p>
        </w:tc>
        <w:tc>
          <w:tcPr>
            <w:tcW w:w="1347" w:type="dxa"/>
            <w:tcBorders>
              <w:top w:val="nil"/>
              <w:left w:val="nil"/>
              <w:bottom w:val="single" w:sz="4" w:space="0" w:color="auto"/>
              <w:right w:val="single" w:sz="4" w:space="0" w:color="auto"/>
            </w:tcBorders>
            <w:shd w:val="clear" w:color="auto" w:fill="auto"/>
            <w:noWrap/>
            <w:vAlign w:val="center"/>
            <w:hideMark/>
          </w:tcPr>
          <w:p w14:paraId="3051EB6C"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51C16394" w14:textId="77777777" w:rsidR="00AB6725" w:rsidRPr="00AB6725" w:rsidRDefault="00AB6725" w:rsidP="00AB6725">
            <w:pPr>
              <w:jc w:val="right"/>
              <w:rPr>
                <w:rFonts w:cs="Arial"/>
                <w:color w:val="0070C0"/>
                <w:sz w:val="18"/>
                <w:szCs w:val="18"/>
              </w:rPr>
            </w:pPr>
            <w:r w:rsidRPr="00AB6725">
              <w:rPr>
                <w:rFonts w:cs="Arial"/>
                <w:b/>
                <w:bCs/>
                <w:sz w:val="18"/>
                <w:szCs w:val="18"/>
              </w:rPr>
              <w:t>16,359</w:t>
            </w:r>
          </w:p>
        </w:tc>
        <w:tc>
          <w:tcPr>
            <w:tcW w:w="1300" w:type="dxa"/>
            <w:tcBorders>
              <w:top w:val="nil"/>
              <w:left w:val="nil"/>
              <w:bottom w:val="single" w:sz="4" w:space="0" w:color="auto"/>
              <w:right w:val="single" w:sz="4" w:space="0" w:color="auto"/>
            </w:tcBorders>
            <w:shd w:val="clear" w:color="auto" w:fill="auto"/>
            <w:noWrap/>
            <w:vAlign w:val="center"/>
            <w:hideMark/>
          </w:tcPr>
          <w:p w14:paraId="0315FA56"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D317959"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E094FCE" w14:textId="77777777" w:rsidR="00AB6725" w:rsidRPr="00AB6725" w:rsidRDefault="00AB6725" w:rsidP="00AB6725">
            <w:pPr>
              <w:jc w:val="right"/>
              <w:rPr>
                <w:rFonts w:cs="Arial"/>
                <w:color w:val="0070C0"/>
                <w:sz w:val="18"/>
                <w:szCs w:val="18"/>
              </w:rPr>
            </w:pPr>
            <w:r w:rsidRPr="00AB6725">
              <w:rPr>
                <w:rFonts w:cs="Arial"/>
                <w:color w:val="000000"/>
                <w:sz w:val="18"/>
                <w:szCs w:val="18"/>
              </w:rPr>
              <w:t>843.3</w:t>
            </w:r>
          </w:p>
        </w:tc>
        <w:tc>
          <w:tcPr>
            <w:tcW w:w="1300" w:type="dxa"/>
            <w:tcBorders>
              <w:top w:val="nil"/>
              <w:left w:val="nil"/>
              <w:bottom w:val="single" w:sz="4" w:space="0" w:color="auto"/>
              <w:right w:val="single" w:sz="4" w:space="0" w:color="auto"/>
            </w:tcBorders>
            <w:shd w:val="clear" w:color="auto" w:fill="auto"/>
            <w:noWrap/>
            <w:vAlign w:val="center"/>
            <w:hideMark/>
          </w:tcPr>
          <w:p w14:paraId="76478825"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13EEC74" w14:textId="77777777" w:rsidR="00AB6725" w:rsidRPr="00AB6725" w:rsidRDefault="00AB6725" w:rsidP="00AB6725">
            <w:pPr>
              <w:jc w:val="right"/>
              <w:rPr>
                <w:rFonts w:cs="Arial"/>
                <w:color w:val="0070C0"/>
                <w:sz w:val="18"/>
                <w:szCs w:val="18"/>
              </w:rPr>
            </w:pPr>
            <w:r w:rsidRPr="00AB6725">
              <w:rPr>
                <w:rFonts w:cs="Arial"/>
                <w:color w:val="000000"/>
                <w:sz w:val="18"/>
                <w:szCs w:val="18"/>
              </w:rPr>
              <w:t>15,516</w:t>
            </w:r>
          </w:p>
        </w:tc>
        <w:tc>
          <w:tcPr>
            <w:tcW w:w="1300" w:type="dxa"/>
            <w:tcBorders>
              <w:top w:val="nil"/>
              <w:left w:val="nil"/>
              <w:bottom w:val="single" w:sz="4" w:space="0" w:color="auto"/>
              <w:right w:val="single" w:sz="4" w:space="0" w:color="auto"/>
            </w:tcBorders>
            <w:shd w:val="clear" w:color="auto" w:fill="auto"/>
            <w:noWrap/>
            <w:vAlign w:val="center"/>
            <w:hideMark/>
          </w:tcPr>
          <w:p w14:paraId="5601DF1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0D8D4C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16,359</w:t>
            </w:r>
          </w:p>
        </w:tc>
      </w:tr>
      <w:tr w:rsidR="00AB6725" w:rsidRPr="00AB6725" w14:paraId="2C6759A2"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EDC282E" w14:textId="77777777" w:rsidR="00AB6725" w:rsidRPr="00AB6725" w:rsidRDefault="00AB6725" w:rsidP="00AB6725">
            <w:pPr>
              <w:rPr>
                <w:rFonts w:cs="Arial"/>
                <w:color w:val="0070C0"/>
                <w:sz w:val="18"/>
                <w:szCs w:val="18"/>
                <w:lang w:eastAsia="en-GB"/>
              </w:rPr>
            </w:pPr>
            <w:r w:rsidRPr="00AB6725">
              <w:rPr>
                <w:rFonts w:cs="Arial"/>
                <w:sz w:val="18"/>
                <w:szCs w:val="18"/>
              </w:rPr>
              <w:t>2046.47</w:t>
            </w:r>
          </w:p>
        </w:tc>
        <w:tc>
          <w:tcPr>
            <w:tcW w:w="1300" w:type="dxa"/>
            <w:tcBorders>
              <w:top w:val="nil"/>
              <w:left w:val="nil"/>
              <w:bottom w:val="single" w:sz="4" w:space="0" w:color="auto"/>
              <w:right w:val="single" w:sz="4" w:space="0" w:color="auto"/>
            </w:tcBorders>
            <w:shd w:val="clear" w:color="auto" w:fill="auto"/>
            <w:noWrap/>
            <w:vAlign w:val="center"/>
            <w:hideMark/>
          </w:tcPr>
          <w:p w14:paraId="0EFE711D" w14:textId="77777777" w:rsidR="00AB6725" w:rsidRPr="00AB6725" w:rsidRDefault="00AB6725" w:rsidP="00AB6725">
            <w:pPr>
              <w:jc w:val="right"/>
              <w:rPr>
                <w:rFonts w:cs="Arial"/>
                <w:color w:val="0070C0"/>
                <w:sz w:val="18"/>
                <w:szCs w:val="18"/>
              </w:rPr>
            </w:pPr>
            <w:r w:rsidRPr="00AB6725">
              <w:rPr>
                <w:rFonts w:cs="Arial"/>
                <w:sz w:val="18"/>
                <w:szCs w:val="18"/>
              </w:rPr>
              <w:t>16,829</w:t>
            </w:r>
          </w:p>
        </w:tc>
        <w:tc>
          <w:tcPr>
            <w:tcW w:w="1347" w:type="dxa"/>
            <w:tcBorders>
              <w:top w:val="nil"/>
              <w:left w:val="nil"/>
              <w:bottom w:val="single" w:sz="4" w:space="0" w:color="auto"/>
              <w:right w:val="single" w:sz="4" w:space="0" w:color="auto"/>
            </w:tcBorders>
            <w:shd w:val="clear" w:color="auto" w:fill="auto"/>
            <w:noWrap/>
            <w:vAlign w:val="center"/>
            <w:hideMark/>
          </w:tcPr>
          <w:p w14:paraId="52461783"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6600DC59" w14:textId="77777777" w:rsidR="00AB6725" w:rsidRPr="00AB6725" w:rsidRDefault="00AB6725" w:rsidP="00AB6725">
            <w:pPr>
              <w:jc w:val="right"/>
              <w:rPr>
                <w:rFonts w:cs="Arial"/>
                <w:color w:val="0070C0"/>
                <w:sz w:val="18"/>
                <w:szCs w:val="18"/>
              </w:rPr>
            </w:pPr>
            <w:r w:rsidRPr="00AB6725">
              <w:rPr>
                <w:rFonts w:cs="Arial"/>
                <w:b/>
                <w:bCs/>
                <w:sz w:val="18"/>
                <w:szCs w:val="18"/>
              </w:rPr>
              <w:t>16,829</w:t>
            </w:r>
          </w:p>
        </w:tc>
        <w:tc>
          <w:tcPr>
            <w:tcW w:w="1300" w:type="dxa"/>
            <w:tcBorders>
              <w:top w:val="nil"/>
              <w:left w:val="nil"/>
              <w:bottom w:val="single" w:sz="4" w:space="0" w:color="auto"/>
              <w:right w:val="single" w:sz="4" w:space="0" w:color="auto"/>
            </w:tcBorders>
            <w:shd w:val="clear" w:color="auto" w:fill="auto"/>
            <w:noWrap/>
            <w:vAlign w:val="center"/>
            <w:hideMark/>
          </w:tcPr>
          <w:p w14:paraId="4A12216A"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498CC9B"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4EE1BC4" w14:textId="77777777" w:rsidR="00AB6725" w:rsidRPr="00AB6725" w:rsidRDefault="00AB6725" w:rsidP="00AB6725">
            <w:pPr>
              <w:jc w:val="right"/>
              <w:rPr>
                <w:rFonts w:cs="Arial"/>
                <w:color w:val="0070C0"/>
                <w:sz w:val="18"/>
                <w:szCs w:val="18"/>
              </w:rPr>
            </w:pPr>
            <w:r w:rsidRPr="00AB6725">
              <w:rPr>
                <w:rFonts w:cs="Arial"/>
                <w:color w:val="000000"/>
                <w:sz w:val="18"/>
                <w:szCs w:val="18"/>
              </w:rPr>
              <w:t>856.2</w:t>
            </w:r>
          </w:p>
        </w:tc>
        <w:tc>
          <w:tcPr>
            <w:tcW w:w="1300" w:type="dxa"/>
            <w:tcBorders>
              <w:top w:val="nil"/>
              <w:left w:val="nil"/>
              <w:bottom w:val="single" w:sz="4" w:space="0" w:color="auto"/>
              <w:right w:val="single" w:sz="4" w:space="0" w:color="auto"/>
            </w:tcBorders>
            <w:shd w:val="clear" w:color="auto" w:fill="auto"/>
            <w:noWrap/>
            <w:vAlign w:val="center"/>
            <w:hideMark/>
          </w:tcPr>
          <w:p w14:paraId="1DAC16A8"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DEDE672" w14:textId="77777777" w:rsidR="00AB6725" w:rsidRPr="00AB6725" w:rsidRDefault="00AB6725" w:rsidP="00AB6725">
            <w:pPr>
              <w:jc w:val="right"/>
              <w:rPr>
                <w:rFonts w:cs="Arial"/>
                <w:color w:val="0070C0"/>
                <w:sz w:val="18"/>
                <w:szCs w:val="18"/>
              </w:rPr>
            </w:pPr>
            <w:r w:rsidRPr="00AB6725">
              <w:rPr>
                <w:rFonts w:cs="Arial"/>
                <w:color w:val="000000"/>
                <w:sz w:val="18"/>
                <w:szCs w:val="18"/>
              </w:rPr>
              <w:t>15,973</w:t>
            </w:r>
          </w:p>
        </w:tc>
        <w:tc>
          <w:tcPr>
            <w:tcW w:w="1300" w:type="dxa"/>
            <w:tcBorders>
              <w:top w:val="nil"/>
              <w:left w:val="nil"/>
              <w:bottom w:val="single" w:sz="4" w:space="0" w:color="auto"/>
              <w:right w:val="single" w:sz="4" w:space="0" w:color="auto"/>
            </w:tcBorders>
            <w:shd w:val="clear" w:color="auto" w:fill="auto"/>
            <w:noWrap/>
            <w:vAlign w:val="center"/>
            <w:hideMark/>
          </w:tcPr>
          <w:p w14:paraId="5AAEA530"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904135A"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16,829</w:t>
            </w:r>
          </w:p>
        </w:tc>
      </w:tr>
      <w:tr w:rsidR="00AB6725" w:rsidRPr="00AB6725" w14:paraId="7C7FC1B8"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3E67219" w14:textId="77777777" w:rsidR="00AB6725" w:rsidRPr="00AB6725" w:rsidRDefault="00AB6725" w:rsidP="00AB6725">
            <w:pPr>
              <w:rPr>
                <w:rFonts w:cs="Arial"/>
                <w:color w:val="0070C0"/>
                <w:sz w:val="18"/>
                <w:szCs w:val="18"/>
                <w:lang w:eastAsia="en-GB"/>
              </w:rPr>
            </w:pPr>
            <w:r w:rsidRPr="00AB6725">
              <w:rPr>
                <w:rFonts w:cs="Arial"/>
                <w:sz w:val="18"/>
                <w:szCs w:val="18"/>
              </w:rPr>
              <w:t>2047.48</w:t>
            </w:r>
          </w:p>
        </w:tc>
        <w:tc>
          <w:tcPr>
            <w:tcW w:w="1300" w:type="dxa"/>
            <w:tcBorders>
              <w:top w:val="nil"/>
              <w:left w:val="nil"/>
              <w:bottom w:val="single" w:sz="4" w:space="0" w:color="auto"/>
              <w:right w:val="single" w:sz="4" w:space="0" w:color="auto"/>
            </w:tcBorders>
            <w:shd w:val="clear" w:color="auto" w:fill="auto"/>
            <w:noWrap/>
            <w:vAlign w:val="center"/>
            <w:hideMark/>
          </w:tcPr>
          <w:p w14:paraId="0AB3DF2F" w14:textId="77777777" w:rsidR="00AB6725" w:rsidRPr="00AB6725" w:rsidRDefault="00AB6725" w:rsidP="00AB6725">
            <w:pPr>
              <w:jc w:val="right"/>
              <w:rPr>
                <w:rFonts w:cs="Arial"/>
                <w:color w:val="0070C0"/>
                <w:sz w:val="18"/>
                <w:szCs w:val="18"/>
              </w:rPr>
            </w:pPr>
            <w:r w:rsidRPr="00AB6725">
              <w:rPr>
                <w:rFonts w:cs="Arial"/>
                <w:sz w:val="18"/>
                <w:szCs w:val="18"/>
              </w:rPr>
              <w:t>17,313</w:t>
            </w:r>
          </w:p>
        </w:tc>
        <w:tc>
          <w:tcPr>
            <w:tcW w:w="1347" w:type="dxa"/>
            <w:tcBorders>
              <w:top w:val="nil"/>
              <w:left w:val="nil"/>
              <w:bottom w:val="single" w:sz="4" w:space="0" w:color="auto"/>
              <w:right w:val="single" w:sz="4" w:space="0" w:color="auto"/>
            </w:tcBorders>
            <w:shd w:val="clear" w:color="auto" w:fill="auto"/>
            <w:noWrap/>
            <w:vAlign w:val="center"/>
            <w:hideMark/>
          </w:tcPr>
          <w:p w14:paraId="3185C719"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7433C652" w14:textId="77777777" w:rsidR="00AB6725" w:rsidRPr="00AB6725" w:rsidRDefault="00AB6725" w:rsidP="00AB6725">
            <w:pPr>
              <w:jc w:val="right"/>
              <w:rPr>
                <w:rFonts w:cs="Arial"/>
                <w:color w:val="0070C0"/>
                <w:sz w:val="18"/>
                <w:szCs w:val="18"/>
              </w:rPr>
            </w:pPr>
            <w:r w:rsidRPr="00AB6725">
              <w:rPr>
                <w:rFonts w:cs="Arial"/>
                <w:b/>
                <w:bCs/>
                <w:sz w:val="18"/>
                <w:szCs w:val="18"/>
              </w:rPr>
              <w:t>17,313</w:t>
            </w:r>
          </w:p>
        </w:tc>
        <w:tc>
          <w:tcPr>
            <w:tcW w:w="1300" w:type="dxa"/>
            <w:tcBorders>
              <w:top w:val="nil"/>
              <w:left w:val="nil"/>
              <w:bottom w:val="single" w:sz="4" w:space="0" w:color="auto"/>
              <w:right w:val="single" w:sz="4" w:space="0" w:color="auto"/>
            </w:tcBorders>
            <w:shd w:val="clear" w:color="auto" w:fill="auto"/>
            <w:noWrap/>
            <w:vAlign w:val="center"/>
            <w:hideMark/>
          </w:tcPr>
          <w:p w14:paraId="014C397E"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4465A6F"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A082EFC" w14:textId="77777777" w:rsidR="00AB6725" w:rsidRPr="00AB6725" w:rsidRDefault="00AB6725" w:rsidP="00AB6725">
            <w:pPr>
              <w:jc w:val="right"/>
              <w:rPr>
                <w:rFonts w:cs="Arial"/>
                <w:color w:val="0070C0"/>
                <w:sz w:val="18"/>
                <w:szCs w:val="18"/>
              </w:rPr>
            </w:pPr>
            <w:r w:rsidRPr="00AB6725">
              <w:rPr>
                <w:rFonts w:cs="Arial"/>
                <w:color w:val="000000"/>
                <w:sz w:val="18"/>
                <w:szCs w:val="18"/>
              </w:rPr>
              <w:t>869.4</w:t>
            </w:r>
          </w:p>
        </w:tc>
        <w:tc>
          <w:tcPr>
            <w:tcW w:w="1300" w:type="dxa"/>
            <w:tcBorders>
              <w:top w:val="nil"/>
              <w:left w:val="nil"/>
              <w:bottom w:val="single" w:sz="4" w:space="0" w:color="auto"/>
              <w:right w:val="single" w:sz="4" w:space="0" w:color="auto"/>
            </w:tcBorders>
            <w:shd w:val="clear" w:color="auto" w:fill="auto"/>
            <w:noWrap/>
            <w:vAlign w:val="center"/>
            <w:hideMark/>
          </w:tcPr>
          <w:p w14:paraId="26FF7CF9"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326A2703" w14:textId="77777777" w:rsidR="00AB6725" w:rsidRPr="00AB6725" w:rsidRDefault="00AB6725" w:rsidP="00AB6725">
            <w:pPr>
              <w:jc w:val="right"/>
              <w:rPr>
                <w:rFonts w:cs="Arial"/>
                <w:color w:val="0070C0"/>
                <w:sz w:val="18"/>
                <w:szCs w:val="18"/>
              </w:rPr>
            </w:pPr>
            <w:r w:rsidRPr="00AB6725">
              <w:rPr>
                <w:rFonts w:cs="Arial"/>
                <w:color w:val="000000"/>
                <w:sz w:val="18"/>
                <w:szCs w:val="18"/>
              </w:rPr>
              <w:t>16,443</w:t>
            </w:r>
          </w:p>
        </w:tc>
        <w:tc>
          <w:tcPr>
            <w:tcW w:w="1300" w:type="dxa"/>
            <w:tcBorders>
              <w:top w:val="nil"/>
              <w:left w:val="nil"/>
              <w:bottom w:val="single" w:sz="4" w:space="0" w:color="auto"/>
              <w:right w:val="single" w:sz="4" w:space="0" w:color="auto"/>
            </w:tcBorders>
            <w:shd w:val="clear" w:color="auto" w:fill="auto"/>
            <w:noWrap/>
            <w:vAlign w:val="center"/>
            <w:hideMark/>
          </w:tcPr>
          <w:p w14:paraId="2D676DAA"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3E6E8D9"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17,313</w:t>
            </w:r>
          </w:p>
        </w:tc>
      </w:tr>
      <w:tr w:rsidR="00AB6725" w:rsidRPr="00AB6725" w14:paraId="553F7557"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379778" w14:textId="77777777" w:rsidR="00AB6725" w:rsidRPr="00AB6725" w:rsidRDefault="00AB6725" w:rsidP="00AB6725">
            <w:pPr>
              <w:rPr>
                <w:rFonts w:cs="Arial"/>
                <w:color w:val="0070C0"/>
                <w:sz w:val="18"/>
                <w:szCs w:val="18"/>
                <w:lang w:eastAsia="en-GB"/>
              </w:rPr>
            </w:pPr>
            <w:r w:rsidRPr="00AB6725">
              <w:rPr>
                <w:rFonts w:cs="Arial"/>
                <w:sz w:val="18"/>
                <w:szCs w:val="18"/>
              </w:rPr>
              <w:t>2048.49</w:t>
            </w:r>
          </w:p>
        </w:tc>
        <w:tc>
          <w:tcPr>
            <w:tcW w:w="1300" w:type="dxa"/>
            <w:tcBorders>
              <w:top w:val="nil"/>
              <w:left w:val="nil"/>
              <w:bottom w:val="single" w:sz="4" w:space="0" w:color="auto"/>
              <w:right w:val="single" w:sz="4" w:space="0" w:color="auto"/>
            </w:tcBorders>
            <w:shd w:val="clear" w:color="auto" w:fill="auto"/>
            <w:noWrap/>
            <w:vAlign w:val="center"/>
            <w:hideMark/>
          </w:tcPr>
          <w:p w14:paraId="0BBAB887" w14:textId="77777777" w:rsidR="00AB6725" w:rsidRPr="00AB6725" w:rsidRDefault="00AB6725" w:rsidP="00AB6725">
            <w:pPr>
              <w:jc w:val="right"/>
              <w:rPr>
                <w:rFonts w:cs="Arial"/>
                <w:color w:val="0070C0"/>
                <w:sz w:val="18"/>
                <w:szCs w:val="18"/>
              </w:rPr>
            </w:pPr>
            <w:r w:rsidRPr="00AB6725">
              <w:rPr>
                <w:rFonts w:cs="Arial"/>
                <w:sz w:val="18"/>
                <w:szCs w:val="18"/>
              </w:rPr>
              <w:t>17,810</w:t>
            </w:r>
          </w:p>
        </w:tc>
        <w:tc>
          <w:tcPr>
            <w:tcW w:w="1347" w:type="dxa"/>
            <w:tcBorders>
              <w:top w:val="nil"/>
              <w:left w:val="nil"/>
              <w:bottom w:val="single" w:sz="4" w:space="0" w:color="auto"/>
              <w:right w:val="single" w:sz="4" w:space="0" w:color="auto"/>
            </w:tcBorders>
            <w:shd w:val="clear" w:color="auto" w:fill="auto"/>
            <w:noWrap/>
            <w:vAlign w:val="center"/>
            <w:hideMark/>
          </w:tcPr>
          <w:p w14:paraId="1545D608"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3330B338" w14:textId="77777777" w:rsidR="00AB6725" w:rsidRPr="00AB6725" w:rsidRDefault="00AB6725" w:rsidP="00AB6725">
            <w:pPr>
              <w:jc w:val="right"/>
              <w:rPr>
                <w:rFonts w:cs="Arial"/>
                <w:color w:val="0070C0"/>
                <w:sz w:val="18"/>
                <w:szCs w:val="18"/>
              </w:rPr>
            </w:pPr>
            <w:r w:rsidRPr="00AB6725">
              <w:rPr>
                <w:rFonts w:cs="Arial"/>
                <w:b/>
                <w:bCs/>
                <w:sz w:val="18"/>
                <w:szCs w:val="18"/>
              </w:rPr>
              <w:t>17,810</w:t>
            </w:r>
          </w:p>
        </w:tc>
        <w:tc>
          <w:tcPr>
            <w:tcW w:w="1300" w:type="dxa"/>
            <w:tcBorders>
              <w:top w:val="nil"/>
              <w:left w:val="nil"/>
              <w:bottom w:val="single" w:sz="4" w:space="0" w:color="auto"/>
              <w:right w:val="single" w:sz="4" w:space="0" w:color="auto"/>
            </w:tcBorders>
            <w:shd w:val="clear" w:color="auto" w:fill="auto"/>
            <w:noWrap/>
            <w:vAlign w:val="center"/>
            <w:hideMark/>
          </w:tcPr>
          <w:p w14:paraId="6E583BAA"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9F5DE2C"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85909BC" w14:textId="77777777" w:rsidR="00AB6725" w:rsidRPr="00AB6725" w:rsidRDefault="00AB6725" w:rsidP="00AB6725">
            <w:pPr>
              <w:jc w:val="right"/>
              <w:rPr>
                <w:rFonts w:cs="Arial"/>
                <w:color w:val="0070C0"/>
                <w:sz w:val="18"/>
                <w:szCs w:val="18"/>
              </w:rPr>
            </w:pPr>
            <w:r w:rsidRPr="00AB6725">
              <w:rPr>
                <w:rFonts w:cs="Arial"/>
                <w:color w:val="000000"/>
                <w:sz w:val="18"/>
                <w:szCs w:val="18"/>
              </w:rPr>
              <w:t>882.7</w:t>
            </w:r>
          </w:p>
        </w:tc>
        <w:tc>
          <w:tcPr>
            <w:tcW w:w="1300" w:type="dxa"/>
            <w:tcBorders>
              <w:top w:val="nil"/>
              <w:left w:val="nil"/>
              <w:bottom w:val="single" w:sz="4" w:space="0" w:color="auto"/>
              <w:right w:val="single" w:sz="4" w:space="0" w:color="auto"/>
            </w:tcBorders>
            <w:shd w:val="clear" w:color="auto" w:fill="auto"/>
            <w:noWrap/>
            <w:vAlign w:val="center"/>
            <w:hideMark/>
          </w:tcPr>
          <w:p w14:paraId="0AD763A4"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04164540" w14:textId="77777777" w:rsidR="00AB6725" w:rsidRPr="00AB6725" w:rsidRDefault="00AB6725" w:rsidP="00AB6725">
            <w:pPr>
              <w:jc w:val="right"/>
              <w:rPr>
                <w:rFonts w:cs="Arial"/>
                <w:color w:val="0070C0"/>
                <w:sz w:val="18"/>
                <w:szCs w:val="18"/>
              </w:rPr>
            </w:pPr>
            <w:r w:rsidRPr="00AB6725">
              <w:rPr>
                <w:rFonts w:cs="Arial"/>
                <w:color w:val="000000"/>
                <w:sz w:val="18"/>
                <w:szCs w:val="18"/>
              </w:rPr>
              <w:t>16,928</w:t>
            </w:r>
          </w:p>
        </w:tc>
        <w:tc>
          <w:tcPr>
            <w:tcW w:w="1300" w:type="dxa"/>
            <w:tcBorders>
              <w:top w:val="nil"/>
              <w:left w:val="nil"/>
              <w:bottom w:val="single" w:sz="4" w:space="0" w:color="auto"/>
              <w:right w:val="single" w:sz="4" w:space="0" w:color="auto"/>
            </w:tcBorders>
            <w:shd w:val="clear" w:color="auto" w:fill="auto"/>
            <w:noWrap/>
            <w:vAlign w:val="center"/>
            <w:hideMark/>
          </w:tcPr>
          <w:p w14:paraId="656B6457"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3F5515E"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17,810</w:t>
            </w:r>
          </w:p>
        </w:tc>
      </w:tr>
      <w:tr w:rsidR="00AB6725" w:rsidRPr="00AB6725" w14:paraId="7F62ADB0" w14:textId="77777777" w:rsidTr="0082610E">
        <w:trPr>
          <w:trHeight w:hRule="exact" w:val="284"/>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855D8C" w14:textId="77777777" w:rsidR="00AB6725" w:rsidRPr="00AB6725" w:rsidRDefault="00AB6725" w:rsidP="00AB6725">
            <w:pPr>
              <w:rPr>
                <w:rFonts w:cs="Arial"/>
                <w:color w:val="0070C0"/>
                <w:sz w:val="18"/>
                <w:szCs w:val="18"/>
                <w:lang w:eastAsia="en-GB"/>
              </w:rPr>
            </w:pPr>
            <w:r w:rsidRPr="00AB6725">
              <w:rPr>
                <w:rFonts w:cs="Arial"/>
                <w:sz w:val="18"/>
                <w:szCs w:val="18"/>
              </w:rPr>
              <w:t>2049.50</w:t>
            </w:r>
          </w:p>
        </w:tc>
        <w:tc>
          <w:tcPr>
            <w:tcW w:w="1300" w:type="dxa"/>
            <w:tcBorders>
              <w:top w:val="nil"/>
              <w:left w:val="nil"/>
              <w:bottom w:val="single" w:sz="4" w:space="0" w:color="auto"/>
              <w:right w:val="single" w:sz="4" w:space="0" w:color="auto"/>
            </w:tcBorders>
            <w:shd w:val="clear" w:color="auto" w:fill="auto"/>
            <w:noWrap/>
            <w:vAlign w:val="center"/>
            <w:hideMark/>
          </w:tcPr>
          <w:p w14:paraId="5D62C6FC" w14:textId="77777777" w:rsidR="00AB6725" w:rsidRPr="00AB6725" w:rsidRDefault="00AB6725" w:rsidP="00AB6725">
            <w:pPr>
              <w:jc w:val="right"/>
              <w:rPr>
                <w:rFonts w:cs="Arial"/>
                <w:color w:val="0070C0"/>
                <w:sz w:val="18"/>
                <w:szCs w:val="18"/>
              </w:rPr>
            </w:pPr>
            <w:r w:rsidRPr="00AB6725">
              <w:rPr>
                <w:rFonts w:cs="Arial"/>
                <w:sz w:val="18"/>
                <w:szCs w:val="18"/>
              </w:rPr>
              <w:t>18,322</w:t>
            </w:r>
          </w:p>
        </w:tc>
        <w:tc>
          <w:tcPr>
            <w:tcW w:w="1347" w:type="dxa"/>
            <w:tcBorders>
              <w:top w:val="nil"/>
              <w:left w:val="nil"/>
              <w:bottom w:val="single" w:sz="4" w:space="0" w:color="auto"/>
              <w:right w:val="single" w:sz="4" w:space="0" w:color="auto"/>
            </w:tcBorders>
            <w:shd w:val="clear" w:color="auto" w:fill="auto"/>
            <w:noWrap/>
            <w:vAlign w:val="center"/>
            <w:hideMark/>
          </w:tcPr>
          <w:p w14:paraId="31788697"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420" w:type="dxa"/>
            <w:tcBorders>
              <w:top w:val="nil"/>
              <w:left w:val="nil"/>
              <w:bottom w:val="single" w:sz="4" w:space="0" w:color="auto"/>
              <w:right w:val="single" w:sz="4" w:space="0" w:color="auto"/>
            </w:tcBorders>
            <w:shd w:val="clear" w:color="auto" w:fill="auto"/>
            <w:noWrap/>
            <w:vAlign w:val="center"/>
            <w:hideMark/>
          </w:tcPr>
          <w:p w14:paraId="77D02EE9" w14:textId="77777777" w:rsidR="00AB6725" w:rsidRPr="00AB6725" w:rsidRDefault="00AB6725" w:rsidP="00AB6725">
            <w:pPr>
              <w:jc w:val="right"/>
              <w:rPr>
                <w:rFonts w:cs="Arial"/>
                <w:color w:val="0070C0"/>
                <w:sz w:val="18"/>
                <w:szCs w:val="18"/>
              </w:rPr>
            </w:pPr>
            <w:r w:rsidRPr="00AB6725">
              <w:rPr>
                <w:rFonts w:cs="Arial"/>
                <w:b/>
                <w:bCs/>
                <w:sz w:val="18"/>
                <w:szCs w:val="18"/>
              </w:rPr>
              <w:t>18,322</w:t>
            </w:r>
          </w:p>
        </w:tc>
        <w:tc>
          <w:tcPr>
            <w:tcW w:w="1300" w:type="dxa"/>
            <w:tcBorders>
              <w:top w:val="nil"/>
              <w:left w:val="nil"/>
              <w:bottom w:val="single" w:sz="4" w:space="0" w:color="auto"/>
              <w:right w:val="single" w:sz="4" w:space="0" w:color="auto"/>
            </w:tcBorders>
            <w:shd w:val="clear" w:color="auto" w:fill="auto"/>
            <w:noWrap/>
            <w:vAlign w:val="center"/>
            <w:hideMark/>
          </w:tcPr>
          <w:p w14:paraId="08A49B9B" w14:textId="77777777" w:rsidR="00AB6725" w:rsidRPr="00AB6725" w:rsidRDefault="00AB6725" w:rsidP="00AB6725">
            <w:pPr>
              <w:jc w:val="right"/>
              <w:rPr>
                <w:rFonts w:cs="Arial"/>
                <w:color w:val="0070C0"/>
                <w:sz w:val="18"/>
                <w:szCs w:val="18"/>
              </w:rPr>
            </w:pPr>
            <w:r w:rsidRPr="00AB6725">
              <w:rPr>
                <w:rFonts w:cs="Arial"/>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2DF23FA2"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417FF7C7" w14:textId="77777777" w:rsidR="00AB6725" w:rsidRPr="00AB6725" w:rsidRDefault="00AB6725" w:rsidP="00AB6725">
            <w:pPr>
              <w:jc w:val="right"/>
              <w:rPr>
                <w:rFonts w:cs="Arial"/>
                <w:color w:val="0070C0"/>
                <w:sz w:val="18"/>
                <w:szCs w:val="18"/>
              </w:rPr>
            </w:pPr>
            <w:r w:rsidRPr="00AB6725">
              <w:rPr>
                <w:rFonts w:cs="Arial"/>
                <w:color w:val="000000"/>
                <w:sz w:val="18"/>
                <w:szCs w:val="18"/>
              </w:rPr>
              <w:t>896.4</w:t>
            </w:r>
          </w:p>
        </w:tc>
        <w:tc>
          <w:tcPr>
            <w:tcW w:w="1300" w:type="dxa"/>
            <w:tcBorders>
              <w:top w:val="nil"/>
              <w:left w:val="nil"/>
              <w:bottom w:val="single" w:sz="4" w:space="0" w:color="auto"/>
              <w:right w:val="single" w:sz="4" w:space="0" w:color="auto"/>
            </w:tcBorders>
            <w:shd w:val="clear" w:color="auto" w:fill="auto"/>
            <w:noWrap/>
            <w:vAlign w:val="center"/>
            <w:hideMark/>
          </w:tcPr>
          <w:p w14:paraId="65516389"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7E645B3A" w14:textId="77777777" w:rsidR="00AB6725" w:rsidRPr="00AB6725" w:rsidRDefault="00AB6725" w:rsidP="00AB6725">
            <w:pPr>
              <w:jc w:val="right"/>
              <w:rPr>
                <w:rFonts w:cs="Arial"/>
                <w:color w:val="0070C0"/>
                <w:sz w:val="18"/>
                <w:szCs w:val="18"/>
              </w:rPr>
            </w:pPr>
            <w:r w:rsidRPr="00AB6725">
              <w:rPr>
                <w:rFonts w:cs="Arial"/>
                <w:color w:val="000000"/>
                <w:sz w:val="18"/>
                <w:szCs w:val="18"/>
              </w:rPr>
              <w:t>17,426</w:t>
            </w:r>
          </w:p>
        </w:tc>
        <w:tc>
          <w:tcPr>
            <w:tcW w:w="1300" w:type="dxa"/>
            <w:tcBorders>
              <w:top w:val="nil"/>
              <w:left w:val="nil"/>
              <w:bottom w:val="single" w:sz="4" w:space="0" w:color="auto"/>
              <w:right w:val="single" w:sz="4" w:space="0" w:color="auto"/>
            </w:tcBorders>
            <w:shd w:val="clear" w:color="auto" w:fill="auto"/>
            <w:noWrap/>
            <w:vAlign w:val="center"/>
            <w:hideMark/>
          </w:tcPr>
          <w:p w14:paraId="6B0CC5D1" w14:textId="77777777" w:rsidR="00AB6725" w:rsidRPr="00AB6725" w:rsidRDefault="00AB6725" w:rsidP="00AB6725">
            <w:pPr>
              <w:jc w:val="right"/>
              <w:rPr>
                <w:rFonts w:cs="Arial"/>
                <w:color w:val="0070C0"/>
                <w:sz w:val="18"/>
                <w:szCs w:val="18"/>
              </w:rPr>
            </w:pPr>
            <w:r w:rsidRPr="00AB6725">
              <w:rPr>
                <w:rFonts w:cs="Arial"/>
                <w:color w:val="000000"/>
                <w:sz w:val="18"/>
                <w:szCs w:val="18"/>
              </w:rPr>
              <w:t>0</w:t>
            </w:r>
          </w:p>
        </w:tc>
        <w:tc>
          <w:tcPr>
            <w:tcW w:w="1300" w:type="dxa"/>
            <w:tcBorders>
              <w:top w:val="nil"/>
              <w:left w:val="nil"/>
              <w:bottom w:val="single" w:sz="4" w:space="0" w:color="auto"/>
              <w:right w:val="single" w:sz="4" w:space="0" w:color="auto"/>
            </w:tcBorders>
            <w:shd w:val="clear" w:color="auto" w:fill="auto"/>
            <w:noWrap/>
            <w:vAlign w:val="center"/>
            <w:hideMark/>
          </w:tcPr>
          <w:p w14:paraId="640DC59B" w14:textId="77777777" w:rsidR="00AB6725" w:rsidRPr="00AB6725" w:rsidRDefault="00AB6725" w:rsidP="00AB6725">
            <w:pPr>
              <w:jc w:val="right"/>
              <w:rPr>
                <w:rFonts w:cs="Arial"/>
                <w:color w:val="0070C0"/>
                <w:sz w:val="18"/>
                <w:szCs w:val="18"/>
              </w:rPr>
            </w:pPr>
            <w:r w:rsidRPr="00AB6725">
              <w:rPr>
                <w:rFonts w:cs="Arial"/>
                <w:b/>
                <w:bCs/>
                <w:color w:val="000000"/>
                <w:sz w:val="18"/>
                <w:szCs w:val="18"/>
              </w:rPr>
              <w:t>18,322</w:t>
            </w:r>
          </w:p>
        </w:tc>
      </w:tr>
    </w:tbl>
    <w:p w14:paraId="3BD12627" w14:textId="298222E4" w:rsidR="00AB6725" w:rsidRPr="00AB6725" w:rsidRDefault="00AB6725" w:rsidP="00AB6725">
      <w:pPr>
        <w:rPr>
          <w:color w:val="0070C0"/>
        </w:rPr>
      </w:pPr>
      <w:r w:rsidRPr="00AB6725">
        <w:rPr>
          <w:color w:val="0070C0"/>
        </w:rPr>
        <w:t xml:space="preserve"> </w:t>
      </w:r>
    </w:p>
    <w:sectPr w:rsidR="00AB6725" w:rsidRPr="00AB6725" w:rsidSect="00AB6725">
      <w:headerReference w:type="default" r:id="rId20"/>
      <w:headerReference w:type="first" r:id="rId21"/>
      <w:footerReference w:type="first" r:id="rId22"/>
      <w:pgSz w:w="16834" w:h="11909" w:orient="landscape" w:code="9"/>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ADA7" w14:textId="77777777" w:rsidR="00FC1459" w:rsidRDefault="00FC1459">
      <w:r>
        <w:separator/>
      </w:r>
    </w:p>
  </w:endnote>
  <w:endnote w:type="continuationSeparator" w:id="0">
    <w:p w14:paraId="10B4578F" w14:textId="77777777" w:rsidR="00FC1459" w:rsidRDefault="00FC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9A91" w14:textId="77777777" w:rsidR="0082610E" w:rsidRPr="004F56C5" w:rsidRDefault="0082610E" w:rsidP="004F5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B7E1" w14:textId="77777777" w:rsidR="0082610E" w:rsidRPr="004F56C5" w:rsidRDefault="0082610E"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A2C6" w14:textId="77777777" w:rsidR="00FC1459" w:rsidRDefault="00FC1459">
      <w:r>
        <w:separator/>
      </w:r>
    </w:p>
  </w:footnote>
  <w:footnote w:type="continuationSeparator" w:id="0">
    <w:p w14:paraId="1857BD37" w14:textId="77777777" w:rsidR="00FC1459" w:rsidRDefault="00FC1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6D3F" w14:textId="77777777" w:rsidR="0082610E" w:rsidRDefault="0082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54CA" w14:textId="77777777" w:rsidR="0082610E" w:rsidRDefault="00826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1746" w14:textId="77777777" w:rsidR="0082610E" w:rsidRDefault="008261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B4D0" w14:textId="77777777" w:rsidR="0082610E" w:rsidRDefault="00826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8CC"/>
    <w:multiLevelType w:val="hybridMultilevel"/>
    <w:tmpl w:val="D6DEAF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E2E1B93"/>
    <w:multiLevelType w:val="hybridMultilevel"/>
    <w:tmpl w:val="30A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619584A"/>
    <w:multiLevelType w:val="hybridMultilevel"/>
    <w:tmpl w:val="A32073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6966FF3"/>
    <w:multiLevelType w:val="hybridMultilevel"/>
    <w:tmpl w:val="38B840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E2FB9"/>
    <w:multiLevelType w:val="hybridMultilevel"/>
    <w:tmpl w:val="964EC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055098"/>
    <w:multiLevelType w:val="hybridMultilevel"/>
    <w:tmpl w:val="38D007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C63043"/>
    <w:multiLevelType w:val="hybridMultilevel"/>
    <w:tmpl w:val="7CC0583C"/>
    <w:lvl w:ilvl="0" w:tplc="65B097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A464F4"/>
    <w:multiLevelType w:val="hybridMultilevel"/>
    <w:tmpl w:val="6F48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A71E58"/>
    <w:multiLevelType w:val="hybridMultilevel"/>
    <w:tmpl w:val="AB1E0F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10"/>
  </w:num>
  <w:num w:numId="7">
    <w:abstractNumId w:val="13"/>
  </w:num>
  <w:num w:numId="8">
    <w:abstractNumId w:val="4"/>
  </w:num>
  <w:num w:numId="9">
    <w:abstractNumId w:val="0"/>
  </w:num>
  <w:num w:numId="10">
    <w:abstractNumId w:val="6"/>
  </w:num>
  <w:num w:numId="11">
    <w:abstractNumId w:val="9"/>
  </w:num>
  <w:num w:numId="12">
    <w:abstractNumId w:val="12"/>
  </w:num>
  <w:num w:numId="13">
    <w:abstractNumId w:val="8"/>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929A6"/>
    <w:rsid w:val="000B5015"/>
    <w:rsid w:val="000B788F"/>
    <w:rsid w:val="000B7C66"/>
    <w:rsid w:val="000D4E36"/>
    <w:rsid w:val="000E62FE"/>
    <w:rsid w:val="001161E4"/>
    <w:rsid w:val="00125A26"/>
    <w:rsid w:val="001472A8"/>
    <w:rsid w:val="0015376F"/>
    <w:rsid w:val="001609D7"/>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F3AFD"/>
    <w:rsid w:val="004076C8"/>
    <w:rsid w:val="00415742"/>
    <w:rsid w:val="004207E3"/>
    <w:rsid w:val="00421A4C"/>
    <w:rsid w:val="004238C2"/>
    <w:rsid w:val="00435B5D"/>
    <w:rsid w:val="004363F7"/>
    <w:rsid w:val="0044525C"/>
    <w:rsid w:val="004553F1"/>
    <w:rsid w:val="00471C1F"/>
    <w:rsid w:val="00476AA4"/>
    <w:rsid w:val="004809FA"/>
    <w:rsid w:val="004C4A75"/>
    <w:rsid w:val="004D2DA0"/>
    <w:rsid w:val="004E14A4"/>
    <w:rsid w:val="004F54BD"/>
    <w:rsid w:val="004F56C5"/>
    <w:rsid w:val="005058E9"/>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5A4C"/>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7317B"/>
    <w:rsid w:val="007B23FC"/>
    <w:rsid w:val="007D0C1D"/>
    <w:rsid w:val="007D2000"/>
    <w:rsid w:val="007D4DBF"/>
    <w:rsid w:val="007E4732"/>
    <w:rsid w:val="007E4BA4"/>
    <w:rsid w:val="007F004E"/>
    <w:rsid w:val="007F335A"/>
    <w:rsid w:val="00803104"/>
    <w:rsid w:val="00812901"/>
    <w:rsid w:val="0082610E"/>
    <w:rsid w:val="00826B9A"/>
    <w:rsid w:val="00842757"/>
    <w:rsid w:val="00843CC2"/>
    <w:rsid w:val="00850709"/>
    <w:rsid w:val="0085266D"/>
    <w:rsid w:val="008A5AA0"/>
    <w:rsid w:val="008E224D"/>
    <w:rsid w:val="0092530B"/>
    <w:rsid w:val="009341A6"/>
    <w:rsid w:val="0094208C"/>
    <w:rsid w:val="00942F17"/>
    <w:rsid w:val="00943236"/>
    <w:rsid w:val="00952CEF"/>
    <w:rsid w:val="00955421"/>
    <w:rsid w:val="00955BC1"/>
    <w:rsid w:val="00990E9C"/>
    <w:rsid w:val="00994542"/>
    <w:rsid w:val="00994908"/>
    <w:rsid w:val="009B160B"/>
    <w:rsid w:val="009C237B"/>
    <w:rsid w:val="009E5A93"/>
    <w:rsid w:val="009F0C89"/>
    <w:rsid w:val="009F3154"/>
    <w:rsid w:val="00A1211C"/>
    <w:rsid w:val="00A20113"/>
    <w:rsid w:val="00A20D78"/>
    <w:rsid w:val="00A2215F"/>
    <w:rsid w:val="00A22839"/>
    <w:rsid w:val="00A23E19"/>
    <w:rsid w:val="00A33185"/>
    <w:rsid w:val="00A53B04"/>
    <w:rsid w:val="00A661F4"/>
    <w:rsid w:val="00A66326"/>
    <w:rsid w:val="00A7271A"/>
    <w:rsid w:val="00A81E19"/>
    <w:rsid w:val="00AB6725"/>
    <w:rsid w:val="00AB795F"/>
    <w:rsid w:val="00AC6312"/>
    <w:rsid w:val="00AD1E77"/>
    <w:rsid w:val="00AD6D80"/>
    <w:rsid w:val="00B07F57"/>
    <w:rsid w:val="00B1160D"/>
    <w:rsid w:val="00B2215B"/>
    <w:rsid w:val="00B41F4F"/>
    <w:rsid w:val="00B444E6"/>
    <w:rsid w:val="00B462F4"/>
    <w:rsid w:val="00B52011"/>
    <w:rsid w:val="00B53EFF"/>
    <w:rsid w:val="00B54AFA"/>
    <w:rsid w:val="00B671A4"/>
    <w:rsid w:val="00B804E8"/>
    <w:rsid w:val="00BC206C"/>
    <w:rsid w:val="00BC431A"/>
    <w:rsid w:val="00BC7C19"/>
    <w:rsid w:val="00C01A35"/>
    <w:rsid w:val="00C03772"/>
    <w:rsid w:val="00C04EDA"/>
    <w:rsid w:val="00C119A2"/>
    <w:rsid w:val="00C57267"/>
    <w:rsid w:val="00C62B63"/>
    <w:rsid w:val="00C72B5B"/>
    <w:rsid w:val="00C869F3"/>
    <w:rsid w:val="00CC18AC"/>
    <w:rsid w:val="00CD2976"/>
    <w:rsid w:val="00CD7D5D"/>
    <w:rsid w:val="00CF0FC4"/>
    <w:rsid w:val="00CF6932"/>
    <w:rsid w:val="00D01FE3"/>
    <w:rsid w:val="00D0381E"/>
    <w:rsid w:val="00D06CA3"/>
    <w:rsid w:val="00D07F46"/>
    <w:rsid w:val="00D170E5"/>
    <w:rsid w:val="00D37F2F"/>
    <w:rsid w:val="00D415B9"/>
    <w:rsid w:val="00D528E8"/>
    <w:rsid w:val="00D76560"/>
    <w:rsid w:val="00D771D0"/>
    <w:rsid w:val="00D835CF"/>
    <w:rsid w:val="00D91CBF"/>
    <w:rsid w:val="00DA26FB"/>
    <w:rsid w:val="00DA36BE"/>
    <w:rsid w:val="00DB6C3D"/>
    <w:rsid w:val="00DC5ACF"/>
    <w:rsid w:val="00DD3573"/>
    <w:rsid w:val="00DD7468"/>
    <w:rsid w:val="00DE25E9"/>
    <w:rsid w:val="00DE71D3"/>
    <w:rsid w:val="00DE72CF"/>
    <w:rsid w:val="00DF08A0"/>
    <w:rsid w:val="00E13BEF"/>
    <w:rsid w:val="00E70760"/>
    <w:rsid w:val="00E9253C"/>
    <w:rsid w:val="00EB3CF0"/>
    <w:rsid w:val="00EB45B5"/>
    <w:rsid w:val="00EB5E57"/>
    <w:rsid w:val="00EB61DB"/>
    <w:rsid w:val="00ED4AFD"/>
    <w:rsid w:val="00ED6776"/>
    <w:rsid w:val="00EE4FBE"/>
    <w:rsid w:val="00F00F23"/>
    <w:rsid w:val="00F038A1"/>
    <w:rsid w:val="00F06E4E"/>
    <w:rsid w:val="00F51E01"/>
    <w:rsid w:val="00F5649A"/>
    <w:rsid w:val="00F67DC5"/>
    <w:rsid w:val="00F82342"/>
    <w:rsid w:val="00F877DB"/>
    <w:rsid w:val="00F91AE4"/>
    <w:rsid w:val="00F93C8B"/>
    <w:rsid w:val="00F959DD"/>
    <w:rsid w:val="00F960D5"/>
    <w:rsid w:val="00FB1231"/>
    <w:rsid w:val="00FC1459"/>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5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uiPriority w:val="9"/>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InfotextChar">
    <w:name w:val="Info text Char"/>
    <w:link w:val="Infotext"/>
    <w:rsid w:val="00B462F4"/>
    <w:rPr>
      <w:rFonts w:ascii="Arial" w:hAnsi="Arial"/>
      <w:sz w:val="28"/>
      <w:lang w:eastAsia="en-US"/>
    </w:rPr>
  </w:style>
  <w:style w:type="character" w:customStyle="1" w:styleId="Heading2Char">
    <w:name w:val="Heading 2 Char"/>
    <w:link w:val="Heading2"/>
    <w:uiPriority w:val="9"/>
    <w:rsid w:val="00AB6725"/>
    <w:rPr>
      <w:rFonts w:ascii="Arial Black" w:hAnsi="Arial Black" w:cs="Arial"/>
      <w:b/>
      <w:bCs/>
      <w:sz w:val="32"/>
      <w:szCs w:val="32"/>
      <w:lang w:eastAsia="en-US"/>
    </w:rPr>
  </w:style>
  <w:style w:type="character" w:styleId="CommentReference">
    <w:name w:val="annotation reference"/>
    <w:basedOn w:val="DefaultParagraphFont"/>
    <w:semiHidden/>
    <w:unhideWhenUsed/>
    <w:rsid w:val="00AB6725"/>
    <w:rPr>
      <w:sz w:val="16"/>
      <w:szCs w:val="16"/>
    </w:rPr>
  </w:style>
  <w:style w:type="paragraph" w:styleId="CommentText">
    <w:name w:val="annotation text"/>
    <w:basedOn w:val="Normal"/>
    <w:link w:val="CommentTextChar"/>
    <w:semiHidden/>
    <w:unhideWhenUsed/>
    <w:rsid w:val="00AB6725"/>
    <w:rPr>
      <w:sz w:val="20"/>
    </w:rPr>
  </w:style>
  <w:style w:type="character" w:customStyle="1" w:styleId="CommentTextChar">
    <w:name w:val="Comment Text Char"/>
    <w:basedOn w:val="DefaultParagraphFont"/>
    <w:link w:val="CommentText"/>
    <w:semiHidden/>
    <w:rsid w:val="00AB6725"/>
    <w:rPr>
      <w:rFonts w:ascii="Arial" w:hAnsi="Arial"/>
      <w:lang w:eastAsia="en-US"/>
    </w:rPr>
  </w:style>
  <w:style w:type="paragraph" w:styleId="CommentSubject">
    <w:name w:val="annotation subject"/>
    <w:basedOn w:val="CommentText"/>
    <w:next w:val="CommentText"/>
    <w:link w:val="CommentSubjectChar"/>
    <w:semiHidden/>
    <w:unhideWhenUsed/>
    <w:rsid w:val="00AB6725"/>
    <w:rPr>
      <w:b/>
      <w:bCs/>
    </w:rPr>
  </w:style>
  <w:style w:type="character" w:customStyle="1" w:styleId="CommentSubjectChar">
    <w:name w:val="Comment Subject Char"/>
    <w:basedOn w:val="CommentTextChar"/>
    <w:link w:val="CommentSubject"/>
    <w:semiHidden/>
    <w:rsid w:val="00AB6725"/>
    <w:rPr>
      <w:rFonts w:ascii="Arial" w:hAnsi="Arial"/>
      <w:b/>
      <w:bCs/>
      <w:lang w:eastAsia="en-US"/>
    </w:rPr>
  </w:style>
  <w:style w:type="paragraph" w:styleId="Revision">
    <w:name w:val="Revision"/>
    <w:hidden/>
    <w:uiPriority w:val="99"/>
    <w:semiHidden/>
    <w:rsid w:val="00AB6725"/>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uiPriority w:val="9"/>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InfotextChar">
    <w:name w:val="Info text Char"/>
    <w:link w:val="Infotext"/>
    <w:rsid w:val="00B462F4"/>
    <w:rPr>
      <w:rFonts w:ascii="Arial" w:hAnsi="Arial"/>
      <w:sz w:val="28"/>
      <w:lang w:eastAsia="en-US"/>
    </w:rPr>
  </w:style>
  <w:style w:type="character" w:customStyle="1" w:styleId="Heading2Char">
    <w:name w:val="Heading 2 Char"/>
    <w:link w:val="Heading2"/>
    <w:uiPriority w:val="9"/>
    <w:rsid w:val="00AB6725"/>
    <w:rPr>
      <w:rFonts w:ascii="Arial Black" w:hAnsi="Arial Black" w:cs="Arial"/>
      <w:b/>
      <w:bCs/>
      <w:sz w:val="32"/>
      <w:szCs w:val="32"/>
      <w:lang w:eastAsia="en-US"/>
    </w:rPr>
  </w:style>
  <w:style w:type="character" w:styleId="CommentReference">
    <w:name w:val="annotation reference"/>
    <w:basedOn w:val="DefaultParagraphFont"/>
    <w:semiHidden/>
    <w:unhideWhenUsed/>
    <w:rsid w:val="00AB6725"/>
    <w:rPr>
      <w:sz w:val="16"/>
      <w:szCs w:val="16"/>
    </w:rPr>
  </w:style>
  <w:style w:type="paragraph" w:styleId="CommentText">
    <w:name w:val="annotation text"/>
    <w:basedOn w:val="Normal"/>
    <w:link w:val="CommentTextChar"/>
    <w:semiHidden/>
    <w:unhideWhenUsed/>
    <w:rsid w:val="00AB6725"/>
    <w:rPr>
      <w:sz w:val="20"/>
    </w:rPr>
  </w:style>
  <w:style w:type="character" w:customStyle="1" w:styleId="CommentTextChar">
    <w:name w:val="Comment Text Char"/>
    <w:basedOn w:val="DefaultParagraphFont"/>
    <w:link w:val="CommentText"/>
    <w:semiHidden/>
    <w:rsid w:val="00AB6725"/>
    <w:rPr>
      <w:rFonts w:ascii="Arial" w:hAnsi="Arial"/>
      <w:lang w:eastAsia="en-US"/>
    </w:rPr>
  </w:style>
  <w:style w:type="paragraph" w:styleId="CommentSubject">
    <w:name w:val="annotation subject"/>
    <w:basedOn w:val="CommentText"/>
    <w:next w:val="CommentText"/>
    <w:link w:val="CommentSubjectChar"/>
    <w:semiHidden/>
    <w:unhideWhenUsed/>
    <w:rsid w:val="00AB6725"/>
    <w:rPr>
      <w:b/>
      <w:bCs/>
    </w:rPr>
  </w:style>
  <w:style w:type="character" w:customStyle="1" w:styleId="CommentSubjectChar">
    <w:name w:val="Comment Subject Char"/>
    <w:basedOn w:val="CommentTextChar"/>
    <w:link w:val="CommentSubject"/>
    <w:semiHidden/>
    <w:rsid w:val="00AB6725"/>
    <w:rPr>
      <w:rFonts w:ascii="Arial" w:hAnsi="Arial"/>
      <w:b/>
      <w:bCs/>
      <w:lang w:eastAsia="en-US"/>
    </w:rPr>
  </w:style>
  <w:style w:type="paragraph" w:styleId="Revision">
    <w:name w:val="Revision"/>
    <w:hidden/>
    <w:uiPriority w:val="99"/>
    <w:semiHidden/>
    <w:rsid w:val="00AB672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oderngov:8080/documents/g64592/Public%20reports%20pack%20Thursday%2013-Feb-2020%2018.30%20Cabinet.pdf?T=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consultations/use-of-receipts-from-right-to-buy-sale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0B06827D-3663-4ED2-8A69-81D59681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6120</Words>
  <Characters>32727</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38770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2014-10-31T16:34:00Z</cp:lastPrinted>
  <dcterms:created xsi:type="dcterms:W3CDTF">2020-09-30T09:23:00Z</dcterms:created>
  <dcterms:modified xsi:type="dcterms:W3CDTF">2020-09-30T12:52:00Z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